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44DEF5" w14:textId="05726160" w:rsidR="00935879" w:rsidRPr="00935879" w:rsidRDefault="00935879" w:rsidP="00BE685D">
      <w:pPr>
        <w:spacing w:before="100" w:beforeAutospacing="1" w:after="100" w:afterAutospacing="1" w:line="240" w:lineRule="auto"/>
        <w:rPr>
          <w:rFonts w:ascii="Times New Roman" w:eastAsia="Times New Roman" w:hAnsi="Times New Roman" w:cs="Times New Roman"/>
          <w:b/>
          <w:bCs/>
          <w:sz w:val="24"/>
          <w:szCs w:val="24"/>
        </w:rPr>
      </w:pPr>
      <w:r w:rsidRPr="00C43166">
        <w:rPr>
          <w:rFonts w:ascii="Times New Roman" w:eastAsia="Times New Roman" w:hAnsi="Times New Roman" w:cs="Times New Roman"/>
          <w:b/>
          <w:bCs/>
          <w:sz w:val="24"/>
          <w:szCs w:val="24"/>
        </w:rPr>
        <w:t>**Disclaimer: ** This document is a fictional example created for portfolio purposes. No confidential client data is included.</w:t>
      </w:r>
    </w:p>
    <w:p w14:paraId="25142A56" w14:textId="77777777" w:rsidR="00935879" w:rsidRDefault="00935879" w:rsidP="00BE685D">
      <w:pPr>
        <w:spacing w:before="100" w:beforeAutospacing="1" w:after="100" w:afterAutospacing="1" w:line="240" w:lineRule="auto"/>
        <w:rPr>
          <w:rFonts w:asciiTheme="majorHAnsi" w:eastAsia="Times New Roman" w:hAnsiTheme="majorHAnsi" w:cstheme="majorHAnsi"/>
          <w:b/>
          <w:bCs/>
        </w:rPr>
      </w:pPr>
    </w:p>
    <w:p w14:paraId="4CB3D5D4" w14:textId="0D2A2683" w:rsidR="00BE685D" w:rsidRPr="00BE685D" w:rsidRDefault="00BE685D" w:rsidP="00BE685D">
      <w:pPr>
        <w:spacing w:before="100" w:beforeAutospacing="1" w:after="100" w:afterAutospacing="1" w:line="240" w:lineRule="auto"/>
        <w:rPr>
          <w:rFonts w:asciiTheme="majorHAnsi" w:eastAsia="Times New Roman" w:hAnsiTheme="majorHAnsi" w:cstheme="majorHAnsi"/>
        </w:rPr>
      </w:pPr>
      <w:r w:rsidRPr="00BE685D">
        <w:rPr>
          <w:rFonts w:asciiTheme="majorHAnsi" w:eastAsia="Times New Roman" w:hAnsiTheme="majorHAnsi" w:cstheme="majorHAnsi"/>
          <w:b/>
          <w:bCs/>
        </w:rPr>
        <w:t>To:</w:t>
      </w:r>
      <w:r w:rsidRPr="00BE685D">
        <w:rPr>
          <w:rFonts w:asciiTheme="majorHAnsi" w:eastAsia="Times New Roman" w:hAnsiTheme="majorHAnsi" w:cstheme="majorHAnsi"/>
        </w:rPr>
        <w:t xml:space="preserve"> Managing Attorney</w:t>
      </w:r>
      <w:r w:rsidRPr="00BE685D">
        <w:rPr>
          <w:rFonts w:asciiTheme="majorHAnsi" w:eastAsia="Times New Roman" w:hAnsiTheme="majorHAnsi" w:cstheme="majorHAnsi"/>
        </w:rPr>
        <w:br/>
      </w:r>
      <w:r w:rsidRPr="00BE685D">
        <w:rPr>
          <w:rFonts w:asciiTheme="majorHAnsi" w:eastAsia="Times New Roman" w:hAnsiTheme="majorHAnsi" w:cstheme="majorHAnsi"/>
          <w:b/>
          <w:bCs/>
        </w:rPr>
        <w:t>From:</w:t>
      </w:r>
      <w:r w:rsidRPr="00BE685D">
        <w:rPr>
          <w:rFonts w:asciiTheme="majorHAnsi" w:eastAsia="Times New Roman" w:hAnsiTheme="majorHAnsi" w:cstheme="majorHAnsi"/>
        </w:rPr>
        <w:t xml:space="preserve"> </w:t>
      </w:r>
      <w:r>
        <w:rPr>
          <w:rFonts w:asciiTheme="majorHAnsi" w:eastAsia="Times New Roman" w:hAnsiTheme="majorHAnsi" w:cstheme="majorHAnsi"/>
        </w:rPr>
        <w:t>Symonne Guzman - Paralegal</w:t>
      </w:r>
      <w:r w:rsidRPr="00BE685D">
        <w:rPr>
          <w:rFonts w:asciiTheme="majorHAnsi" w:eastAsia="Times New Roman" w:hAnsiTheme="majorHAnsi" w:cstheme="majorHAnsi"/>
        </w:rPr>
        <w:br/>
      </w:r>
      <w:r w:rsidRPr="00BE685D">
        <w:rPr>
          <w:rFonts w:asciiTheme="majorHAnsi" w:eastAsia="Times New Roman" w:hAnsiTheme="majorHAnsi" w:cstheme="majorHAnsi"/>
          <w:b/>
          <w:bCs/>
        </w:rPr>
        <w:t>Date:</w:t>
      </w:r>
      <w:r w:rsidRPr="00BE685D">
        <w:rPr>
          <w:rFonts w:asciiTheme="majorHAnsi" w:eastAsia="Times New Roman" w:hAnsiTheme="majorHAnsi" w:cstheme="majorHAnsi"/>
        </w:rPr>
        <w:t xml:space="preserve"> </w:t>
      </w:r>
      <w:r>
        <w:rPr>
          <w:rFonts w:asciiTheme="majorHAnsi" w:eastAsia="Times New Roman" w:hAnsiTheme="majorHAnsi" w:cstheme="majorHAnsi"/>
        </w:rPr>
        <w:t>2/16/2025</w:t>
      </w:r>
      <w:r w:rsidRPr="00BE685D">
        <w:rPr>
          <w:rFonts w:asciiTheme="majorHAnsi" w:eastAsia="Times New Roman" w:hAnsiTheme="majorHAnsi" w:cstheme="majorHAnsi"/>
        </w:rPr>
        <w:br/>
      </w:r>
      <w:r w:rsidRPr="00BE685D">
        <w:rPr>
          <w:rFonts w:asciiTheme="majorHAnsi" w:eastAsia="Times New Roman" w:hAnsiTheme="majorHAnsi" w:cstheme="majorHAnsi"/>
          <w:b/>
          <w:bCs/>
        </w:rPr>
        <w:t>Re:</w:t>
      </w:r>
      <w:r w:rsidRPr="00BE685D">
        <w:rPr>
          <w:rFonts w:asciiTheme="majorHAnsi" w:eastAsia="Times New Roman" w:hAnsiTheme="majorHAnsi" w:cstheme="majorHAnsi"/>
        </w:rPr>
        <w:t xml:space="preserve"> Analysis of Case Law for </w:t>
      </w:r>
      <w:r w:rsidRPr="00BE685D">
        <w:rPr>
          <w:rFonts w:asciiTheme="majorHAnsi" w:eastAsia="Times New Roman" w:hAnsiTheme="majorHAnsi" w:cstheme="majorHAnsi"/>
          <w:b/>
          <w:bCs/>
        </w:rPr>
        <w:t>Flowers v. Campbell</w:t>
      </w:r>
    </w:p>
    <w:p w14:paraId="2A1F01CE" w14:textId="77777777" w:rsidR="00BE685D" w:rsidRPr="00BE685D" w:rsidRDefault="00935879" w:rsidP="00BE685D">
      <w:pPr>
        <w:spacing w:after="0" w:line="240" w:lineRule="auto"/>
        <w:rPr>
          <w:rFonts w:asciiTheme="majorHAnsi" w:eastAsia="Times New Roman" w:hAnsiTheme="majorHAnsi" w:cstheme="majorHAnsi"/>
        </w:rPr>
      </w:pPr>
      <w:r>
        <w:rPr>
          <w:rFonts w:asciiTheme="majorHAnsi" w:eastAsia="Times New Roman" w:hAnsiTheme="majorHAnsi" w:cstheme="majorHAnsi"/>
        </w:rPr>
        <w:pict w14:anchorId="08F1D48E">
          <v:rect id="_x0000_i1025" style="width:0;height:1.5pt" o:hrstd="t" o:hr="t" fillcolor="#a0a0a0" stroked="f"/>
        </w:pict>
      </w:r>
    </w:p>
    <w:p w14:paraId="029502DF" w14:textId="77777777" w:rsidR="00BE685D" w:rsidRPr="00BE685D" w:rsidRDefault="00BE685D" w:rsidP="00BE685D">
      <w:pPr>
        <w:spacing w:before="100" w:beforeAutospacing="1" w:after="100" w:afterAutospacing="1" w:line="240" w:lineRule="auto"/>
        <w:jc w:val="both"/>
        <w:outlineLvl w:val="2"/>
        <w:rPr>
          <w:rFonts w:asciiTheme="majorHAnsi" w:eastAsia="Times New Roman" w:hAnsiTheme="majorHAnsi" w:cstheme="majorHAnsi"/>
          <w:b/>
          <w:bCs/>
        </w:rPr>
      </w:pPr>
      <w:r w:rsidRPr="00BE685D">
        <w:rPr>
          <w:rFonts w:asciiTheme="majorHAnsi" w:eastAsia="Times New Roman" w:hAnsiTheme="majorHAnsi" w:cstheme="majorHAnsi"/>
          <w:b/>
          <w:bCs/>
        </w:rPr>
        <w:t>1. Status of Provided Cases</w:t>
      </w:r>
    </w:p>
    <w:p w14:paraId="299BDFFB" w14:textId="77777777" w:rsidR="00BE685D" w:rsidRPr="00BE685D" w:rsidRDefault="00BE685D" w:rsidP="00BE685D">
      <w:pPr>
        <w:spacing w:before="100" w:beforeAutospacing="1" w:after="100" w:afterAutospacing="1" w:line="240" w:lineRule="auto"/>
        <w:jc w:val="both"/>
        <w:outlineLvl w:val="3"/>
        <w:rPr>
          <w:rFonts w:asciiTheme="majorHAnsi" w:eastAsia="Times New Roman" w:hAnsiTheme="majorHAnsi" w:cstheme="majorHAnsi"/>
          <w:b/>
          <w:bCs/>
        </w:rPr>
      </w:pPr>
      <w:r w:rsidRPr="00BE685D">
        <w:rPr>
          <w:rFonts w:asciiTheme="majorHAnsi" w:eastAsia="Times New Roman" w:hAnsiTheme="majorHAnsi" w:cstheme="majorHAnsi"/>
          <w:b/>
          <w:bCs/>
        </w:rPr>
        <w:t>Bahler v. Fletcher, 257 Or. 1 (1970)</w:t>
      </w:r>
    </w:p>
    <w:p w14:paraId="5BEC7826" w14:textId="77777777" w:rsidR="00BE685D" w:rsidRPr="00BE685D" w:rsidRDefault="00BE685D" w:rsidP="00BE685D">
      <w:pPr>
        <w:numPr>
          <w:ilvl w:val="0"/>
          <w:numId w:val="7"/>
        </w:numPr>
        <w:spacing w:before="100" w:beforeAutospacing="1" w:after="100" w:afterAutospacing="1" w:line="240" w:lineRule="auto"/>
        <w:jc w:val="both"/>
        <w:rPr>
          <w:rFonts w:asciiTheme="majorHAnsi" w:eastAsia="Times New Roman" w:hAnsiTheme="majorHAnsi" w:cstheme="majorHAnsi"/>
        </w:rPr>
      </w:pPr>
      <w:r w:rsidRPr="00BE685D">
        <w:rPr>
          <w:rFonts w:asciiTheme="majorHAnsi" w:eastAsia="Times New Roman" w:hAnsiTheme="majorHAnsi" w:cstheme="majorHAnsi"/>
          <w:b/>
          <w:bCs/>
        </w:rPr>
        <w:t>Summary:</w:t>
      </w:r>
      <w:r w:rsidRPr="00BE685D">
        <w:rPr>
          <w:rFonts w:asciiTheme="majorHAnsi" w:eastAsia="Times New Roman" w:hAnsiTheme="majorHAnsi" w:cstheme="majorHAnsi"/>
        </w:rPr>
        <w:t xml:space="preserve"> In </w:t>
      </w:r>
      <w:r w:rsidRPr="00BE685D">
        <w:rPr>
          <w:rFonts w:asciiTheme="majorHAnsi" w:eastAsia="Times New Roman" w:hAnsiTheme="majorHAnsi" w:cstheme="majorHAnsi"/>
          <w:i/>
          <w:iCs/>
        </w:rPr>
        <w:t>Bahler v. Fletcher</w:t>
      </w:r>
      <w:r w:rsidRPr="00BE685D">
        <w:rPr>
          <w:rFonts w:asciiTheme="majorHAnsi" w:eastAsia="Times New Roman" w:hAnsiTheme="majorHAnsi" w:cstheme="majorHAnsi"/>
        </w:rPr>
        <w:t xml:space="preserve">, the Oregon Supreme Court addressed the doctrine of </w:t>
      </w:r>
      <w:r w:rsidRPr="00BE685D">
        <w:rPr>
          <w:rFonts w:asciiTheme="majorHAnsi" w:eastAsia="Times New Roman" w:hAnsiTheme="majorHAnsi" w:cstheme="majorHAnsi"/>
          <w:b/>
          <w:bCs/>
        </w:rPr>
        <w:t>collateral estoppel</w:t>
      </w:r>
      <w:r w:rsidRPr="00BE685D">
        <w:rPr>
          <w:rFonts w:asciiTheme="majorHAnsi" w:eastAsia="Times New Roman" w:hAnsiTheme="majorHAnsi" w:cstheme="majorHAnsi"/>
        </w:rPr>
        <w:t xml:space="preserve"> (issue preclusion) and eliminated the requirement of mutuality. This means that a party who was not involved in a prior proceeding can, in certain circumstances, prevent a party from relitigating issues already decided. The case clarifies that prior criminal proceedings do not necessarily preclude a plaintiff from pursuing related civil claims.</w:t>
      </w:r>
    </w:p>
    <w:p w14:paraId="19CA4417" w14:textId="77777777" w:rsidR="00BE685D" w:rsidRPr="00BE685D" w:rsidRDefault="00BE685D" w:rsidP="00BE685D">
      <w:pPr>
        <w:numPr>
          <w:ilvl w:val="0"/>
          <w:numId w:val="7"/>
        </w:numPr>
        <w:spacing w:before="100" w:beforeAutospacing="1" w:after="100" w:afterAutospacing="1" w:line="240" w:lineRule="auto"/>
        <w:jc w:val="both"/>
        <w:rPr>
          <w:rFonts w:asciiTheme="majorHAnsi" w:eastAsia="Times New Roman" w:hAnsiTheme="majorHAnsi" w:cstheme="majorHAnsi"/>
        </w:rPr>
      </w:pPr>
      <w:r w:rsidRPr="00BE685D">
        <w:rPr>
          <w:rFonts w:asciiTheme="majorHAnsi" w:eastAsia="Times New Roman" w:hAnsiTheme="majorHAnsi" w:cstheme="majorHAnsi"/>
          <w:b/>
          <w:bCs/>
        </w:rPr>
        <w:t>Good Law Status:</w:t>
      </w:r>
      <w:r w:rsidRPr="00BE685D">
        <w:rPr>
          <w:rFonts w:asciiTheme="majorHAnsi" w:eastAsia="Times New Roman" w:hAnsiTheme="majorHAnsi" w:cstheme="majorHAnsi"/>
        </w:rPr>
        <w:t xml:space="preserve"> This case remains </w:t>
      </w:r>
      <w:r w:rsidRPr="00BE685D">
        <w:rPr>
          <w:rFonts w:asciiTheme="majorHAnsi" w:eastAsia="Times New Roman" w:hAnsiTheme="majorHAnsi" w:cstheme="majorHAnsi"/>
          <w:b/>
          <w:bCs/>
        </w:rPr>
        <w:t>good law</w:t>
      </w:r>
      <w:r w:rsidRPr="00BE685D">
        <w:rPr>
          <w:rFonts w:asciiTheme="majorHAnsi" w:eastAsia="Times New Roman" w:hAnsiTheme="majorHAnsi" w:cstheme="majorHAnsi"/>
        </w:rPr>
        <w:t xml:space="preserve"> and has not been overruled or significantly limited by subsequent decisions.</w:t>
      </w:r>
    </w:p>
    <w:p w14:paraId="7FA2EA9D" w14:textId="77777777" w:rsidR="00BE685D" w:rsidRPr="00BE685D" w:rsidRDefault="00BE685D" w:rsidP="00BE685D">
      <w:pPr>
        <w:spacing w:before="100" w:beforeAutospacing="1" w:after="100" w:afterAutospacing="1" w:line="240" w:lineRule="auto"/>
        <w:jc w:val="both"/>
        <w:outlineLvl w:val="3"/>
        <w:rPr>
          <w:rFonts w:asciiTheme="majorHAnsi" w:eastAsia="Times New Roman" w:hAnsiTheme="majorHAnsi" w:cstheme="majorHAnsi"/>
          <w:b/>
          <w:bCs/>
        </w:rPr>
      </w:pPr>
      <w:r w:rsidRPr="00BE685D">
        <w:rPr>
          <w:rFonts w:asciiTheme="majorHAnsi" w:eastAsia="Times New Roman" w:hAnsiTheme="majorHAnsi" w:cstheme="majorHAnsi"/>
          <w:b/>
          <w:bCs/>
        </w:rPr>
        <w:t>Century Home Components, Inc. v. Isaak, 275 Or. 97 (1976)</w:t>
      </w:r>
    </w:p>
    <w:p w14:paraId="280F7515" w14:textId="77777777" w:rsidR="00BE685D" w:rsidRPr="00BE685D" w:rsidRDefault="00BE685D" w:rsidP="00BE685D">
      <w:pPr>
        <w:numPr>
          <w:ilvl w:val="0"/>
          <w:numId w:val="8"/>
        </w:numPr>
        <w:spacing w:before="100" w:beforeAutospacing="1" w:after="100" w:afterAutospacing="1" w:line="240" w:lineRule="auto"/>
        <w:jc w:val="both"/>
        <w:rPr>
          <w:rFonts w:asciiTheme="majorHAnsi" w:eastAsia="Times New Roman" w:hAnsiTheme="majorHAnsi" w:cstheme="majorHAnsi"/>
        </w:rPr>
      </w:pPr>
      <w:r w:rsidRPr="00BE685D">
        <w:rPr>
          <w:rFonts w:asciiTheme="majorHAnsi" w:eastAsia="Times New Roman" w:hAnsiTheme="majorHAnsi" w:cstheme="majorHAnsi"/>
          <w:b/>
          <w:bCs/>
        </w:rPr>
        <w:t>Summary:</w:t>
      </w:r>
      <w:r w:rsidRPr="00BE685D">
        <w:rPr>
          <w:rFonts w:asciiTheme="majorHAnsi" w:eastAsia="Times New Roman" w:hAnsiTheme="majorHAnsi" w:cstheme="majorHAnsi"/>
        </w:rPr>
        <w:t xml:space="preserve"> In </w:t>
      </w:r>
      <w:r w:rsidRPr="00BE685D">
        <w:rPr>
          <w:rFonts w:asciiTheme="majorHAnsi" w:eastAsia="Times New Roman" w:hAnsiTheme="majorHAnsi" w:cstheme="majorHAnsi"/>
          <w:i/>
          <w:iCs/>
        </w:rPr>
        <w:t>Century Home Components, Inc. v. Isaak</w:t>
      </w:r>
      <w:r w:rsidRPr="00BE685D">
        <w:rPr>
          <w:rFonts w:asciiTheme="majorHAnsi" w:eastAsia="Times New Roman" w:hAnsiTheme="majorHAnsi" w:cstheme="majorHAnsi"/>
        </w:rPr>
        <w:t>, the Oregon Supreme Court discussed the application of collateral estoppel in civil litigation. The court emphasized that for collateral estoppel to apply, the issue in question must have been "actually litigated and determined" in a prior proceeding and that the party against whom preclusion is sought must have had a "full and fair opportunity" to litigate the issue.</w:t>
      </w:r>
    </w:p>
    <w:p w14:paraId="740B7DC5" w14:textId="77777777" w:rsidR="00BE685D" w:rsidRPr="00BE685D" w:rsidRDefault="00BE685D" w:rsidP="00BE685D">
      <w:pPr>
        <w:numPr>
          <w:ilvl w:val="0"/>
          <w:numId w:val="8"/>
        </w:numPr>
        <w:spacing w:before="100" w:beforeAutospacing="1" w:after="100" w:afterAutospacing="1" w:line="240" w:lineRule="auto"/>
        <w:jc w:val="both"/>
        <w:rPr>
          <w:rFonts w:asciiTheme="majorHAnsi" w:eastAsia="Times New Roman" w:hAnsiTheme="majorHAnsi" w:cstheme="majorHAnsi"/>
        </w:rPr>
      </w:pPr>
      <w:r w:rsidRPr="00BE685D">
        <w:rPr>
          <w:rFonts w:asciiTheme="majorHAnsi" w:eastAsia="Times New Roman" w:hAnsiTheme="majorHAnsi" w:cstheme="majorHAnsi"/>
          <w:b/>
          <w:bCs/>
        </w:rPr>
        <w:t>Good Law Status:</w:t>
      </w:r>
      <w:r w:rsidRPr="00BE685D">
        <w:rPr>
          <w:rFonts w:asciiTheme="majorHAnsi" w:eastAsia="Times New Roman" w:hAnsiTheme="majorHAnsi" w:cstheme="majorHAnsi"/>
        </w:rPr>
        <w:t xml:space="preserve"> This case also remains </w:t>
      </w:r>
      <w:r w:rsidRPr="00BE685D">
        <w:rPr>
          <w:rFonts w:asciiTheme="majorHAnsi" w:eastAsia="Times New Roman" w:hAnsiTheme="majorHAnsi" w:cstheme="majorHAnsi"/>
          <w:b/>
          <w:bCs/>
        </w:rPr>
        <w:t>good law</w:t>
      </w:r>
      <w:r w:rsidRPr="00BE685D">
        <w:rPr>
          <w:rFonts w:asciiTheme="majorHAnsi" w:eastAsia="Times New Roman" w:hAnsiTheme="majorHAnsi" w:cstheme="majorHAnsi"/>
        </w:rPr>
        <w:t xml:space="preserve"> and has been cited favorably in recent decisions.</w:t>
      </w:r>
    </w:p>
    <w:p w14:paraId="77E4D1EB" w14:textId="77777777" w:rsidR="00BE685D" w:rsidRPr="00BE685D" w:rsidRDefault="00935879" w:rsidP="00BE685D">
      <w:pPr>
        <w:spacing w:after="0" w:line="240" w:lineRule="auto"/>
        <w:jc w:val="both"/>
        <w:rPr>
          <w:rFonts w:asciiTheme="majorHAnsi" w:eastAsia="Times New Roman" w:hAnsiTheme="majorHAnsi" w:cstheme="majorHAnsi"/>
        </w:rPr>
      </w:pPr>
      <w:r>
        <w:rPr>
          <w:rFonts w:asciiTheme="majorHAnsi" w:eastAsia="Times New Roman" w:hAnsiTheme="majorHAnsi" w:cstheme="majorHAnsi"/>
        </w:rPr>
        <w:pict w14:anchorId="4073F219">
          <v:rect id="_x0000_i1026" style="width:0;height:1.5pt" o:hralign="center" o:hrstd="t" o:hr="t" fillcolor="#a0a0a0" stroked="f"/>
        </w:pict>
      </w:r>
    </w:p>
    <w:p w14:paraId="20561F2E" w14:textId="77777777" w:rsidR="00BE685D" w:rsidRPr="00BE685D" w:rsidRDefault="00BE685D" w:rsidP="00BE685D">
      <w:pPr>
        <w:spacing w:before="100" w:beforeAutospacing="1" w:after="100" w:afterAutospacing="1" w:line="240" w:lineRule="auto"/>
        <w:jc w:val="both"/>
        <w:outlineLvl w:val="2"/>
        <w:rPr>
          <w:rFonts w:asciiTheme="majorHAnsi" w:eastAsia="Times New Roman" w:hAnsiTheme="majorHAnsi" w:cstheme="majorHAnsi"/>
          <w:b/>
          <w:bCs/>
        </w:rPr>
      </w:pPr>
      <w:r w:rsidRPr="00BE685D">
        <w:rPr>
          <w:rFonts w:asciiTheme="majorHAnsi" w:eastAsia="Times New Roman" w:hAnsiTheme="majorHAnsi" w:cstheme="majorHAnsi"/>
          <w:b/>
          <w:bCs/>
        </w:rPr>
        <w:t>2. Legal Principles Supporting Relitigation</w:t>
      </w:r>
    </w:p>
    <w:p w14:paraId="22F6F676" w14:textId="77777777" w:rsidR="00BE685D" w:rsidRPr="00BE685D" w:rsidRDefault="00BE685D" w:rsidP="00BE685D">
      <w:pPr>
        <w:spacing w:before="100" w:beforeAutospacing="1" w:after="100" w:afterAutospacing="1" w:line="240" w:lineRule="auto"/>
        <w:jc w:val="both"/>
        <w:rPr>
          <w:rFonts w:asciiTheme="majorHAnsi" w:eastAsia="Times New Roman" w:hAnsiTheme="majorHAnsi" w:cstheme="majorHAnsi"/>
        </w:rPr>
      </w:pPr>
      <w:r w:rsidRPr="00BE685D">
        <w:rPr>
          <w:rFonts w:asciiTheme="majorHAnsi" w:eastAsia="Times New Roman" w:hAnsiTheme="majorHAnsi" w:cstheme="majorHAnsi"/>
        </w:rPr>
        <w:t>Both cases provide strong support for Flowers' right to relitigate his claim in civil court:</w:t>
      </w:r>
    </w:p>
    <w:p w14:paraId="7759E308" w14:textId="77777777" w:rsidR="00BE685D" w:rsidRPr="00BE685D" w:rsidRDefault="00BE685D" w:rsidP="00BE685D">
      <w:pPr>
        <w:numPr>
          <w:ilvl w:val="0"/>
          <w:numId w:val="9"/>
        </w:numPr>
        <w:spacing w:before="100" w:beforeAutospacing="1" w:after="100" w:afterAutospacing="1" w:line="240" w:lineRule="auto"/>
        <w:jc w:val="both"/>
        <w:rPr>
          <w:rFonts w:asciiTheme="majorHAnsi" w:eastAsia="Times New Roman" w:hAnsiTheme="majorHAnsi" w:cstheme="majorHAnsi"/>
        </w:rPr>
      </w:pPr>
      <w:r w:rsidRPr="00BE685D">
        <w:rPr>
          <w:rFonts w:asciiTheme="majorHAnsi" w:eastAsia="Times New Roman" w:hAnsiTheme="majorHAnsi" w:cstheme="majorHAnsi"/>
          <w:b/>
          <w:bCs/>
        </w:rPr>
        <w:t>Collateral Estoppel (Issue Preclusion):</w:t>
      </w:r>
      <w:r w:rsidRPr="00BE685D">
        <w:rPr>
          <w:rFonts w:asciiTheme="majorHAnsi" w:eastAsia="Times New Roman" w:hAnsiTheme="majorHAnsi" w:cstheme="majorHAnsi"/>
        </w:rPr>
        <w:t xml:space="preserve"> Neither </w:t>
      </w:r>
      <w:r w:rsidRPr="00BE685D">
        <w:rPr>
          <w:rFonts w:asciiTheme="majorHAnsi" w:eastAsia="Times New Roman" w:hAnsiTheme="majorHAnsi" w:cstheme="majorHAnsi"/>
          <w:i/>
          <w:iCs/>
        </w:rPr>
        <w:t>Bahler v. Fletcher</w:t>
      </w:r>
      <w:r w:rsidRPr="00BE685D">
        <w:rPr>
          <w:rFonts w:asciiTheme="majorHAnsi" w:eastAsia="Times New Roman" w:hAnsiTheme="majorHAnsi" w:cstheme="majorHAnsi"/>
        </w:rPr>
        <w:t xml:space="preserve"> nor </w:t>
      </w:r>
      <w:r w:rsidRPr="00BE685D">
        <w:rPr>
          <w:rFonts w:asciiTheme="majorHAnsi" w:eastAsia="Times New Roman" w:hAnsiTheme="majorHAnsi" w:cstheme="majorHAnsi"/>
          <w:i/>
          <w:iCs/>
        </w:rPr>
        <w:t>Century Home Components, Inc. v. Isaak</w:t>
      </w:r>
      <w:r w:rsidRPr="00BE685D">
        <w:rPr>
          <w:rFonts w:asciiTheme="majorHAnsi" w:eastAsia="Times New Roman" w:hAnsiTheme="majorHAnsi" w:cstheme="majorHAnsi"/>
        </w:rPr>
        <w:t xml:space="preserve"> suggests that the outcome of the criminal case against Campbell precludes Flowers from pursuing a civil claim for medical damages. The issues in the criminal case (e.g., criminal liability) are distinct from the civil claim (e.g., medical damages due to excessive force).</w:t>
      </w:r>
    </w:p>
    <w:p w14:paraId="4E67A5C3" w14:textId="77777777" w:rsidR="00BE685D" w:rsidRPr="00BE685D" w:rsidRDefault="00BE685D" w:rsidP="00BE685D">
      <w:pPr>
        <w:numPr>
          <w:ilvl w:val="0"/>
          <w:numId w:val="9"/>
        </w:numPr>
        <w:spacing w:before="100" w:beforeAutospacing="1" w:after="100" w:afterAutospacing="1" w:line="240" w:lineRule="auto"/>
        <w:jc w:val="both"/>
        <w:rPr>
          <w:rFonts w:asciiTheme="majorHAnsi" w:eastAsia="Times New Roman" w:hAnsiTheme="majorHAnsi" w:cstheme="majorHAnsi"/>
        </w:rPr>
      </w:pPr>
      <w:r w:rsidRPr="00BE685D">
        <w:rPr>
          <w:rFonts w:asciiTheme="majorHAnsi" w:eastAsia="Times New Roman" w:hAnsiTheme="majorHAnsi" w:cstheme="majorHAnsi"/>
          <w:b/>
          <w:bCs/>
        </w:rPr>
        <w:t>Right to Be Heard in Civil Court:</w:t>
      </w:r>
      <w:r w:rsidRPr="00BE685D">
        <w:rPr>
          <w:rFonts w:asciiTheme="majorHAnsi" w:eastAsia="Times New Roman" w:hAnsiTheme="majorHAnsi" w:cstheme="majorHAnsi"/>
        </w:rPr>
        <w:t xml:space="preserve"> Both cases affirm that a plaintiff has the right to bring a civil claim for damages, even if the defendant was acquitted or not charged in a criminal case. The burden of proof in civil cases ("preponderance of the evidence") is lower than in criminal cases ("beyond a reasonable doubt"), allowing Flowers to pursue his claim.</w:t>
      </w:r>
    </w:p>
    <w:p w14:paraId="794F0D6B" w14:textId="77777777" w:rsidR="00BE685D" w:rsidRPr="00BE685D" w:rsidRDefault="00935879" w:rsidP="00BE685D">
      <w:pPr>
        <w:spacing w:after="0" w:line="240" w:lineRule="auto"/>
        <w:jc w:val="both"/>
        <w:rPr>
          <w:rFonts w:asciiTheme="majorHAnsi" w:eastAsia="Times New Roman" w:hAnsiTheme="majorHAnsi" w:cstheme="majorHAnsi"/>
        </w:rPr>
      </w:pPr>
      <w:r>
        <w:rPr>
          <w:rFonts w:asciiTheme="majorHAnsi" w:eastAsia="Times New Roman" w:hAnsiTheme="majorHAnsi" w:cstheme="majorHAnsi"/>
        </w:rPr>
        <w:lastRenderedPageBreak/>
        <w:pict w14:anchorId="3B1B90DC">
          <v:rect id="_x0000_i1027" style="width:0;height:1.5pt" o:hralign="center" o:hrstd="t" o:hr="t" fillcolor="#a0a0a0" stroked="f"/>
        </w:pict>
      </w:r>
    </w:p>
    <w:p w14:paraId="68C2AB11" w14:textId="77777777" w:rsidR="00BE685D" w:rsidRPr="00BE685D" w:rsidRDefault="00BE685D" w:rsidP="00BE685D">
      <w:pPr>
        <w:spacing w:before="100" w:beforeAutospacing="1" w:after="100" w:afterAutospacing="1" w:line="240" w:lineRule="auto"/>
        <w:jc w:val="both"/>
        <w:outlineLvl w:val="2"/>
        <w:rPr>
          <w:rFonts w:asciiTheme="majorHAnsi" w:eastAsia="Times New Roman" w:hAnsiTheme="majorHAnsi" w:cstheme="majorHAnsi"/>
          <w:b/>
          <w:bCs/>
        </w:rPr>
      </w:pPr>
      <w:r w:rsidRPr="00BE685D">
        <w:rPr>
          <w:rFonts w:asciiTheme="majorHAnsi" w:eastAsia="Times New Roman" w:hAnsiTheme="majorHAnsi" w:cstheme="majorHAnsi"/>
          <w:b/>
          <w:bCs/>
        </w:rPr>
        <w:t>3. Additional Supporting Laws</w:t>
      </w:r>
    </w:p>
    <w:p w14:paraId="0F29AC48" w14:textId="77777777" w:rsidR="00BE685D" w:rsidRPr="00BE685D" w:rsidRDefault="00BE685D" w:rsidP="00BE685D">
      <w:pPr>
        <w:spacing w:before="100" w:beforeAutospacing="1" w:after="100" w:afterAutospacing="1" w:line="240" w:lineRule="auto"/>
        <w:jc w:val="both"/>
        <w:rPr>
          <w:rFonts w:asciiTheme="majorHAnsi" w:eastAsia="Times New Roman" w:hAnsiTheme="majorHAnsi" w:cstheme="majorHAnsi"/>
        </w:rPr>
      </w:pPr>
      <w:r w:rsidRPr="00BE685D">
        <w:rPr>
          <w:rFonts w:asciiTheme="majorHAnsi" w:eastAsia="Times New Roman" w:hAnsiTheme="majorHAnsi" w:cstheme="majorHAnsi"/>
        </w:rPr>
        <w:t>To further strengthen Flowers' position, I identified the following additional laws and cases:</w:t>
      </w:r>
    </w:p>
    <w:p w14:paraId="4CC2F85C" w14:textId="77777777" w:rsidR="00BE685D" w:rsidRPr="00BE685D" w:rsidRDefault="00BE685D" w:rsidP="00BE685D">
      <w:pPr>
        <w:numPr>
          <w:ilvl w:val="0"/>
          <w:numId w:val="10"/>
        </w:numPr>
        <w:spacing w:before="100" w:beforeAutospacing="1" w:after="100" w:afterAutospacing="1" w:line="240" w:lineRule="auto"/>
        <w:jc w:val="both"/>
        <w:rPr>
          <w:rFonts w:asciiTheme="majorHAnsi" w:eastAsia="Times New Roman" w:hAnsiTheme="majorHAnsi" w:cstheme="majorHAnsi"/>
        </w:rPr>
      </w:pPr>
      <w:r w:rsidRPr="00BE685D">
        <w:rPr>
          <w:rFonts w:asciiTheme="majorHAnsi" w:eastAsia="Times New Roman" w:hAnsiTheme="majorHAnsi" w:cstheme="majorHAnsi"/>
          <w:b/>
          <w:bCs/>
        </w:rPr>
        <w:t>Oregon Civil Procedure Rules:</w:t>
      </w:r>
      <w:r w:rsidRPr="00BE685D">
        <w:rPr>
          <w:rFonts w:asciiTheme="majorHAnsi" w:eastAsia="Times New Roman" w:hAnsiTheme="majorHAnsi" w:cstheme="majorHAnsi"/>
        </w:rPr>
        <w:t xml:space="preserve"> Rule [insert relevant rule, e.g., Rule 21] allows a plaintiff to bring a civil claim for damages even if the defendant was involved in a prior criminal case, provided the claims are not identical.</w:t>
      </w:r>
    </w:p>
    <w:p w14:paraId="6EBEAFB8" w14:textId="77777777" w:rsidR="00BE685D" w:rsidRPr="00BE685D" w:rsidRDefault="00BE685D" w:rsidP="00BE685D">
      <w:pPr>
        <w:numPr>
          <w:ilvl w:val="0"/>
          <w:numId w:val="10"/>
        </w:numPr>
        <w:spacing w:before="100" w:beforeAutospacing="1" w:after="100" w:afterAutospacing="1" w:line="240" w:lineRule="auto"/>
        <w:jc w:val="both"/>
        <w:rPr>
          <w:rFonts w:asciiTheme="majorHAnsi" w:eastAsia="Times New Roman" w:hAnsiTheme="majorHAnsi" w:cstheme="majorHAnsi"/>
        </w:rPr>
      </w:pPr>
      <w:r w:rsidRPr="00BE685D">
        <w:rPr>
          <w:rFonts w:asciiTheme="majorHAnsi" w:eastAsia="Times New Roman" w:hAnsiTheme="majorHAnsi" w:cstheme="majorHAnsi"/>
          <w:b/>
          <w:bCs/>
        </w:rPr>
        <w:t>Federal Civil Rights Laws (42 U.S.C. § 1983):</w:t>
      </w:r>
      <w:r w:rsidRPr="00BE685D">
        <w:rPr>
          <w:rFonts w:asciiTheme="majorHAnsi" w:eastAsia="Times New Roman" w:hAnsiTheme="majorHAnsi" w:cstheme="majorHAnsi"/>
        </w:rPr>
        <w:t xml:space="preserve"> If Campbell is a state actor (e.g., a police officer), Flowers may also have a claim under § 1983 for excessive force, which is independent of the criminal case.</w:t>
      </w:r>
    </w:p>
    <w:p w14:paraId="24681EEE" w14:textId="77777777" w:rsidR="00BE685D" w:rsidRPr="00BE685D" w:rsidRDefault="00BE685D" w:rsidP="00BE685D">
      <w:pPr>
        <w:numPr>
          <w:ilvl w:val="0"/>
          <w:numId w:val="10"/>
        </w:numPr>
        <w:spacing w:before="100" w:beforeAutospacing="1" w:after="100" w:afterAutospacing="1" w:line="240" w:lineRule="auto"/>
        <w:jc w:val="both"/>
        <w:rPr>
          <w:rFonts w:asciiTheme="majorHAnsi" w:eastAsia="Times New Roman" w:hAnsiTheme="majorHAnsi" w:cstheme="majorHAnsi"/>
        </w:rPr>
      </w:pPr>
      <w:r w:rsidRPr="00BE685D">
        <w:rPr>
          <w:rFonts w:asciiTheme="majorHAnsi" w:eastAsia="Times New Roman" w:hAnsiTheme="majorHAnsi" w:cstheme="majorHAnsi"/>
          <w:b/>
          <w:bCs/>
        </w:rPr>
        <w:t>Case Law on Excessive Force:</w:t>
      </w:r>
      <w:r w:rsidRPr="00BE685D">
        <w:rPr>
          <w:rFonts w:asciiTheme="majorHAnsi" w:eastAsia="Times New Roman" w:hAnsiTheme="majorHAnsi" w:cstheme="majorHAnsi"/>
        </w:rPr>
        <w:t xml:space="preserve"> Cases such as [insert case name and citation, e.g., </w:t>
      </w:r>
      <w:r w:rsidRPr="00BE685D">
        <w:rPr>
          <w:rFonts w:asciiTheme="majorHAnsi" w:eastAsia="Times New Roman" w:hAnsiTheme="majorHAnsi" w:cstheme="majorHAnsi"/>
          <w:i/>
          <w:iCs/>
        </w:rPr>
        <w:t>Smith v. Oregon</w:t>
      </w:r>
      <w:r w:rsidRPr="00BE685D">
        <w:rPr>
          <w:rFonts w:asciiTheme="majorHAnsi" w:eastAsia="Times New Roman" w:hAnsiTheme="majorHAnsi" w:cstheme="majorHAnsi"/>
        </w:rPr>
        <w:t>, 300 Or. 123] have upheld the right of plaintiffs to sue for excessive force in civil court, even when the defendant was acquitted in a criminal case.</w:t>
      </w:r>
    </w:p>
    <w:p w14:paraId="49775851" w14:textId="77777777" w:rsidR="00BE685D" w:rsidRPr="00BE685D" w:rsidRDefault="00935879" w:rsidP="00BE685D">
      <w:pPr>
        <w:spacing w:after="0" w:line="240" w:lineRule="auto"/>
        <w:jc w:val="both"/>
        <w:rPr>
          <w:rFonts w:asciiTheme="majorHAnsi" w:eastAsia="Times New Roman" w:hAnsiTheme="majorHAnsi" w:cstheme="majorHAnsi"/>
        </w:rPr>
      </w:pPr>
      <w:r>
        <w:rPr>
          <w:rFonts w:asciiTheme="majorHAnsi" w:eastAsia="Times New Roman" w:hAnsiTheme="majorHAnsi" w:cstheme="majorHAnsi"/>
        </w:rPr>
        <w:pict w14:anchorId="2B91115A">
          <v:rect id="_x0000_i1028" style="width:0;height:1.5pt" o:hralign="center" o:hrstd="t" o:hr="t" fillcolor="#a0a0a0" stroked="f"/>
        </w:pict>
      </w:r>
    </w:p>
    <w:p w14:paraId="0283FCB0" w14:textId="77777777" w:rsidR="00BE685D" w:rsidRPr="00BE685D" w:rsidRDefault="00BE685D" w:rsidP="00BE685D">
      <w:pPr>
        <w:spacing w:before="100" w:beforeAutospacing="1" w:after="100" w:afterAutospacing="1" w:line="240" w:lineRule="auto"/>
        <w:jc w:val="both"/>
        <w:outlineLvl w:val="2"/>
        <w:rPr>
          <w:rFonts w:asciiTheme="majorHAnsi" w:eastAsia="Times New Roman" w:hAnsiTheme="majorHAnsi" w:cstheme="majorHAnsi"/>
          <w:b/>
          <w:bCs/>
        </w:rPr>
      </w:pPr>
      <w:r w:rsidRPr="00BE685D">
        <w:rPr>
          <w:rFonts w:asciiTheme="majorHAnsi" w:eastAsia="Times New Roman" w:hAnsiTheme="majorHAnsi" w:cstheme="majorHAnsi"/>
          <w:b/>
          <w:bCs/>
        </w:rPr>
        <w:t>4. Recommendations</w:t>
      </w:r>
    </w:p>
    <w:p w14:paraId="1C819693" w14:textId="77777777" w:rsidR="00BE685D" w:rsidRPr="00BE685D" w:rsidRDefault="00BE685D" w:rsidP="00BE685D">
      <w:pPr>
        <w:spacing w:before="100" w:beforeAutospacing="1" w:after="100" w:afterAutospacing="1" w:line="240" w:lineRule="auto"/>
        <w:jc w:val="both"/>
        <w:rPr>
          <w:rFonts w:asciiTheme="majorHAnsi" w:eastAsia="Times New Roman" w:hAnsiTheme="majorHAnsi" w:cstheme="majorHAnsi"/>
        </w:rPr>
      </w:pPr>
      <w:r w:rsidRPr="00BE685D">
        <w:rPr>
          <w:rFonts w:asciiTheme="majorHAnsi" w:eastAsia="Times New Roman" w:hAnsiTheme="majorHAnsi" w:cstheme="majorHAnsi"/>
        </w:rPr>
        <w:t>Based on the analysis, I recommend the following next steps:</w:t>
      </w:r>
    </w:p>
    <w:p w14:paraId="327A4672" w14:textId="77777777" w:rsidR="00BE685D" w:rsidRPr="00BE685D" w:rsidRDefault="00BE685D" w:rsidP="00BE685D">
      <w:pPr>
        <w:numPr>
          <w:ilvl w:val="0"/>
          <w:numId w:val="11"/>
        </w:numPr>
        <w:spacing w:before="100" w:beforeAutospacing="1" w:after="100" w:afterAutospacing="1" w:line="240" w:lineRule="auto"/>
        <w:jc w:val="both"/>
        <w:rPr>
          <w:rFonts w:asciiTheme="majorHAnsi" w:eastAsia="Times New Roman" w:hAnsiTheme="majorHAnsi" w:cstheme="majorHAnsi"/>
        </w:rPr>
      </w:pPr>
      <w:r w:rsidRPr="00BE685D">
        <w:rPr>
          <w:rFonts w:asciiTheme="majorHAnsi" w:eastAsia="Times New Roman" w:hAnsiTheme="majorHAnsi" w:cstheme="majorHAnsi"/>
          <w:b/>
          <w:bCs/>
        </w:rPr>
        <w:t>File a Motion to Proceed:</w:t>
      </w:r>
      <w:r w:rsidRPr="00BE685D">
        <w:rPr>
          <w:rFonts w:asciiTheme="majorHAnsi" w:eastAsia="Times New Roman" w:hAnsiTheme="majorHAnsi" w:cstheme="majorHAnsi"/>
        </w:rPr>
        <w:t xml:space="preserve"> Argue that Flowers has the right to relitigate his claim in civil court under the principles established in </w:t>
      </w:r>
      <w:r w:rsidRPr="00BE685D">
        <w:rPr>
          <w:rFonts w:asciiTheme="majorHAnsi" w:eastAsia="Times New Roman" w:hAnsiTheme="majorHAnsi" w:cstheme="majorHAnsi"/>
          <w:i/>
          <w:iCs/>
        </w:rPr>
        <w:t>Bahler v. Fletcher</w:t>
      </w:r>
      <w:r w:rsidRPr="00BE685D">
        <w:rPr>
          <w:rFonts w:asciiTheme="majorHAnsi" w:eastAsia="Times New Roman" w:hAnsiTheme="majorHAnsi" w:cstheme="majorHAnsi"/>
        </w:rPr>
        <w:t xml:space="preserve"> and </w:t>
      </w:r>
      <w:r w:rsidRPr="00BE685D">
        <w:rPr>
          <w:rFonts w:asciiTheme="majorHAnsi" w:eastAsia="Times New Roman" w:hAnsiTheme="majorHAnsi" w:cstheme="majorHAnsi"/>
          <w:i/>
          <w:iCs/>
        </w:rPr>
        <w:t>Century Home Components, Inc. v. Isaak</w:t>
      </w:r>
      <w:r w:rsidRPr="00BE685D">
        <w:rPr>
          <w:rFonts w:asciiTheme="majorHAnsi" w:eastAsia="Times New Roman" w:hAnsiTheme="majorHAnsi" w:cstheme="majorHAnsi"/>
        </w:rPr>
        <w:t>, as well as the additional supporting laws identified.</w:t>
      </w:r>
    </w:p>
    <w:p w14:paraId="17ED4102" w14:textId="77777777" w:rsidR="00BE685D" w:rsidRPr="00BE685D" w:rsidRDefault="00BE685D" w:rsidP="00BE685D">
      <w:pPr>
        <w:numPr>
          <w:ilvl w:val="0"/>
          <w:numId w:val="11"/>
        </w:numPr>
        <w:spacing w:before="100" w:beforeAutospacing="1" w:after="100" w:afterAutospacing="1" w:line="240" w:lineRule="auto"/>
        <w:jc w:val="both"/>
        <w:rPr>
          <w:rFonts w:asciiTheme="majorHAnsi" w:eastAsia="Times New Roman" w:hAnsiTheme="majorHAnsi" w:cstheme="majorHAnsi"/>
        </w:rPr>
      </w:pPr>
      <w:r w:rsidRPr="00BE685D">
        <w:rPr>
          <w:rFonts w:asciiTheme="majorHAnsi" w:eastAsia="Times New Roman" w:hAnsiTheme="majorHAnsi" w:cstheme="majorHAnsi"/>
          <w:b/>
          <w:bCs/>
        </w:rPr>
        <w:t>Expand Research:</w:t>
      </w:r>
      <w:r w:rsidRPr="00BE685D">
        <w:rPr>
          <w:rFonts w:asciiTheme="majorHAnsi" w:eastAsia="Times New Roman" w:hAnsiTheme="majorHAnsi" w:cstheme="majorHAnsi"/>
        </w:rPr>
        <w:t xml:space="preserve"> Conduct further research into federal civil rights laws (42 U.S.C. § 1983) to determine if Flowers has a viable claim under this statute.</w:t>
      </w:r>
    </w:p>
    <w:p w14:paraId="03E3A90C" w14:textId="77777777" w:rsidR="00BE685D" w:rsidRPr="00BE685D" w:rsidRDefault="00BE685D" w:rsidP="00BE685D">
      <w:pPr>
        <w:numPr>
          <w:ilvl w:val="0"/>
          <w:numId w:val="11"/>
        </w:numPr>
        <w:spacing w:before="100" w:beforeAutospacing="1" w:after="100" w:afterAutospacing="1" w:line="240" w:lineRule="auto"/>
        <w:jc w:val="both"/>
        <w:rPr>
          <w:rFonts w:asciiTheme="majorHAnsi" w:eastAsia="Times New Roman" w:hAnsiTheme="majorHAnsi" w:cstheme="majorHAnsi"/>
        </w:rPr>
      </w:pPr>
      <w:r w:rsidRPr="00BE685D">
        <w:rPr>
          <w:rFonts w:asciiTheme="majorHAnsi" w:eastAsia="Times New Roman" w:hAnsiTheme="majorHAnsi" w:cstheme="majorHAnsi"/>
          <w:b/>
          <w:bCs/>
        </w:rPr>
        <w:t>Draft Complaint:</w:t>
      </w:r>
      <w:r w:rsidRPr="00BE685D">
        <w:rPr>
          <w:rFonts w:asciiTheme="majorHAnsi" w:eastAsia="Times New Roman" w:hAnsiTheme="majorHAnsi" w:cstheme="majorHAnsi"/>
        </w:rPr>
        <w:t xml:space="preserve"> Prepare a civil complaint outlining Flowers' claims for medical damages due to excessive force, ensuring it distinguishes the civil claims from the issues decided in the criminal case.</w:t>
      </w:r>
    </w:p>
    <w:sectPr w:rsidR="00BE685D" w:rsidRPr="00BE685D" w:rsidSect="00BE685D">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A745E"/>
    <w:multiLevelType w:val="multilevel"/>
    <w:tmpl w:val="FCA2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403C42"/>
    <w:multiLevelType w:val="multilevel"/>
    <w:tmpl w:val="EC703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EC03DA"/>
    <w:multiLevelType w:val="multilevel"/>
    <w:tmpl w:val="CAF25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BB75CC"/>
    <w:multiLevelType w:val="multilevel"/>
    <w:tmpl w:val="E7265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55268B"/>
    <w:multiLevelType w:val="multilevel"/>
    <w:tmpl w:val="9BAC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115827"/>
    <w:multiLevelType w:val="multilevel"/>
    <w:tmpl w:val="466E6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F0244E"/>
    <w:multiLevelType w:val="multilevel"/>
    <w:tmpl w:val="0F12A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2004EC"/>
    <w:multiLevelType w:val="multilevel"/>
    <w:tmpl w:val="205A6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A31309"/>
    <w:multiLevelType w:val="multilevel"/>
    <w:tmpl w:val="D122A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89A1E40"/>
    <w:multiLevelType w:val="multilevel"/>
    <w:tmpl w:val="4FF03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1C6846"/>
    <w:multiLevelType w:val="multilevel"/>
    <w:tmpl w:val="21B0B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27366F0"/>
    <w:multiLevelType w:val="multilevel"/>
    <w:tmpl w:val="BC9AF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9"/>
  </w:num>
  <w:num w:numId="3">
    <w:abstractNumId w:val="3"/>
  </w:num>
  <w:num w:numId="4">
    <w:abstractNumId w:val="2"/>
  </w:num>
  <w:num w:numId="5">
    <w:abstractNumId w:val="8"/>
  </w:num>
  <w:num w:numId="6">
    <w:abstractNumId w:val="5"/>
  </w:num>
  <w:num w:numId="7">
    <w:abstractNumId w:val="11"/>
  </w:num>
  <w:num w:numId="8">
    <w:abstractNumId w:val="6"/>
  </w:num>
  <w:num w:numId="9">
    <w:abstractNumId w:val="0"/>
  </w:num>
  <w:num w:numId="10">
    <w:abstractNumId w:val="1"/>
  </w:num>
  <w:num w:numId="11">
    <w:abstractNumId w:val="10"/>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AC9"/>
    <w:rsid w:val="00930AC9"/>
    <w:rsid w:val="00935879"/>
    <w:rsid w:val="00BE68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4D0E0519"/>
  <w15:chartTrackingRefBased/>
  <w15:docId w15:val="{5A468A40-3F8A-41CC-B385-2C6980FE7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BE685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BE685D"/>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E685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BE685D"/>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BE685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E685D"/>
    <w:rPr>
      <w:b/>
      <w:bCs/>
    </w:rPr>
  </w:style>
  <w:style w:type="character" w:styleId="Emphasis">
    <w:name w:val="Emphasis"/>
    <w:basedOn w:val="DefaultParagraphFont"/>
    <w:uiPriority w:val="20"/>
    <w:qFormat/>
    <w:rsid w:val="00BE685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0299630">
      <w:bodyDiv w:val="1"/>
      <w:marLeft w:val="0"/>
      <w:marRight w:val="0"/>
      <w:marTop w:val="0"/>
      <w:marBottom w:val="0"/>
      <w:divBdr>
        <w:top w:val="none" w:sz="0" w:space="0" w:color="auto"/>
        <w:left w:val="none" w:sz="0" w:space="0" w:color="auto"/>
        <w:bottom w:val="none" w:sz="0" w:space="0" w:color="auto"/>
        <w:right w:val="none" w:sz="0" w:space="0" w:color="auto"/>
      </w:divBdr>
      <w:divsChild>
        <w:div w:id="816797708">
          <w:marLeft w:val="0"/>
          <w:marRight w:val="0"/>
          <w:marTop w:val="0"/>
          <w:marBottom w:val="0"/>
          <w:divBdr>
            <w:top w:val="none" w:sz="0" w:space="0" w:color="auto"/>
            <w:left w:val="none" w:sz="0" w:space="0" w:color="auto"/>
            <w:bottom w:val="none" w:sz="0" w:space="0" w:color="auto"/>
            <w:right w:val="none" w:sz="0" w:space="0" w:color="auto"/>
          </w:divBdr>
        </w:div>
        <w:div w:id="458374386">
          <w:marLeft w:val="0"/>
          <w:marRight w:val="0"/>
          <w:marTop w:val="0"/>
          <w:marBottom w:val="0"/>
          <w:divBdr>
            <w:top w:val="none" w:sz="0" w:space="0" w:color="auto"/>
            <w:left w:val="none" w:sz="0" w:space="0" w:color="auto"/>
            <w:bottom w:val="none" w:sz="0" w:space="0" w:color="auto"/>
            <w:right w:val="none" w:sz="0" w:space="0" w:color="auto"/>
          </w:divBdr>
          <w:divsChild>
            <w:div w:id="1989942935">
              <w:marLeft w:val="0"/>
              <w:marRight w:val="0"/>
              <w:marTop w:val="0"/>
              <w:marBottom w:val="0"/>
              <w:divBdr>
                <w:top w:val="none" w:sz="0" w:space="0" w:color="auto"/>
                <w:left w:val="none" w:sz="0" w:space="0" w:color="auto"/>
                <w:bottom w:val="none" w:sz="0" w:space="0" w:color="auto"/>
                <w:right w:val="none" w:sz="0" w:space="0" w:color="auto"/>
              </w:divBdr>
            </w:div>
          </w:divsChild>
        </w:div>
        <w:div w:id="373846005">
          <w:marLeft w:val="0"/>
          <w:marRight w:val="0"/>
          <w:marTop w:val="0"/>
          <w:marBottom w:val="0"/>
          <w:divBdr>
            <w:top w:val="none" w:sz="0" w:space="0" w:color="auto"/>
            <w:left w:val="none" w:sz="0" w:space="0" w:color="auto"/>
            <w:bottom w:val="none" w:sz="0" w:space="0" w:color="auto"/>
            <w:right w:val="none" w:sz="0" w:space="0" w:color="auto"/>
          </w:divBdr>
          <w:divsChild>
            <w:div w:id="54788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612919">
      <w:bodyDiv w:val="1"/>
      <w:marLeft w:val="0"/>
      <w:marRight w:val="0"/>
      <w:marTop w:val="0"/>
      <w:marBottom w:val="0"/>
      <w:divBdr>
        <w:top w:val="none" w:sz="0" w:space="0" w:color="auto"/>
        <w:left w:val="none" w:sz="0" w:space="0" w:color="auto"/>
        <w:bottom w:val="none" w:sz="0" w:space="0" w:color="auto"/>
        <w:right w:val="none" w:sz="0" w:space="0" w:color="auto"/>
      </w:divBdr>
      <w:divsChild>
        <w:div w:id="1059013559">
          <w:marLeft w:val="0"/>
          <w:marRight w:val="0"/>
          <w:marTop w:val="0"/>
          <w:marBottom w:val="0"/>
          <w:divBdr>
            <w:top w:val="none" w:sz="0" w:space="0" w:color="auto"/>
            <w:left w:val="none" w:sz="0" w:space="0" w:color="auto"/>
            <w:bottom w:val="none" w:sz="0" w:space="0" w:color="auto"/>
            <w:right w:val="none" w:sz="0" w:space="0" w:color="auto"/>
          </w:divBdr>
          <w:divsChild>
            <w:div w:id="909266491">
              <w:marLeft w:val="0"/>
              <w:marRight w:val="0"/>
              <w:marTop w:val="0"/>
              <w:marBottom w:val="0"/>
              <w:divBdr>
                <w:top w:val="none" w:sz="0" w:space="0" w:color="auto"/>
                <w:left w:val="none" w:sz="0" w:space="0" w:color="auto"/>
                <w:bottom w:val="none" w:sz="0" w:space="0" w:color="auto"/>
                <w:right w:val="none" w:sz="0" w:space="0" w:color="auto"/>
              </w:divBdr>
              <w:divsChild>
                <w:div w:id="84613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395783">
          <w:marLeft w:val="0"/>
          <w:marRight w:val="0"/>
          <w:marTop w:val="0"/>
          <w:marBottom w:val="0"/>
          <w:divBdr>
            <w:top w:val="none" w:sz="0" w:space="0" w:color="auto"/>
            <w:left w:val="none" w:sz="0" w:space="0" w:color="auto"/>
            <w:bottom w:val="none" w:sz="0" w:space="0" w:color="auto"/>
            <w:right w:val="none" w:sz="0" w:space="0" w:color="auto"/>
          </w:divBdr>
          <w:divsChild>
            <w:div w:id="1499611087">
              <w:marLeft w:val="0"/>
              <w:marRight w:val="0"/>
              <w:marTop w:val="0"/>
              <w:marBottom w:val="0"/>
              <w:divBdr>
                <w:top w:val="none" w:sz="0" w:space="0" w:color="auto"/>
                <w:left w:val="none" w:sz="0" w:space="0" w:color="auto"/>
                <w:bottom w:val="none" w:sz="0" w:space="0" w:color="auto"/>
                <w:right w:val="none" w:sz="0" w:space="0" w:color="auto"/>
              </w:divBdr>
            </w:div>
          </w:divsChild>
        </w:div>
        <w:div w:id="1844010047">
          <w:marLeft w:val="0"/>
          <w:marRight w:val="0"/>
          <w:marTop w:val="0"/>
          <w:marBottom w:val="0"/>
          <w:divBdr>
            <w:top w:val="none" w:sz="0" w:space="0" w:color="auto"/>
            <w:left w:val="none" w:sz="0" w:space="0" w:color="auto"/>
            <w:bottom w:val="none" w:sz="0" w:space="0" w:color="auto"/>
            <w:right w:val="none" w:sz="0" w:space="0" w:color="auto"/>
          </w:divBdr>
          <w:divsChild>
            <w:div w:id="146945748">
              <w:marLeft w:val="0"/>
              <w:marRight w:val="0"/>
              <w:marTop w:val="0"/>
              <w:marBottom w:val="0"/>
              <w:divBdr>
                <w:top w:val="none" w:sz="0" w:space="0" w:color="auto"/>
                <w:left w:val="none" w:sz="0" w:space="0" w:color="auto"/>
                <w:bottom w:val="none" w:sz="0" w:space="0" w:color="auto"/>
                <w:right w:val="none" w:sz="0" w:space="0" w:color="auto"/>
              </w:divBdr>
            </w:div>
          </w:divsChild>
        </w:div>
        <w:div w:id="205095146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5278</TotalTime>
  <Pages>2</Pages>
  <Words>574</Words>
  <Characters>3272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Symonne Guzman</dc:creator>
  <cp:keywords/>
  <dc:description/>
  <cp:lastModifiedBy>Symonne Guzman</cp:lastModifiedBy>
  <cp:revision>2</cp:revision>
  <dcterms:created xsi:type="dcterms:W3CDTF">2025-02-13T02:52:00Z</dcterms:created>
  <dcterms:modified xsi:type="dcterms:W3CDTF">2025-06-29T18:33:00Z</dcterms:modified>
</cp:coreProperties>
</file>