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9880" w14:textId="77777777" w:rsidR="00202231" w:rsidRDefault="00000000">
      <w:pPr>
        <w:pStyle w:val="Heading1"/>
      </w:pPr>
      <w:bookmarkStart w:id="0" w:name="header"/>
      <w:bookmarkStart w:id="1" w:name="Xc41769eebd13ce3f25000bf1f060a2a2e71621a"/>
      <w:bookmarkStart w:id="2" w:name="content"/>
      <w:bookmarkEnd w:id="0"/>
      <w:r>
        <w:t>HelixCare AI Hospital – Requirements Specification</w:t>
      </w:r>
    </w:p>
    <w:p w14:paraId="2B6044B0" w14:textId="77777777" w:rsidR="00202231" w:rsidRDefault="00000000">
      <w:pPr>
        <w:pStyle w:val="FirstParagraph"/>
      </w:pPr>
      <w:r>
        <w:t>This requirements specification defines the functional requirements (FR) and non-functional requirements (NFR) for the HelixCare AI Hospital, an autonomous digital hospital system. It covers the entire patient journey from arrival to discharge, including secure agent-to-agent interactions under the NEXUS-A2A protocol. Each requirement is labeled with an ID and includes a description, rationale, acceptance criteria, priority, source, and traceability note per ISO/IEC/IEEE 29148:2018 guidelines.</w:t>
      </w:r>
    </w:p>
    <w:p w14:paraId="2737D3C7" w14:textId="77777777" w:rsidR="00202231" w:rsidRDefault="00000000">
      <w:pPr>
        <w:pStyle w:val="Heading2"/>
      </w:pPr>
      <w:bookmarkStart w:id="3" w:name="functional-requirements"/>
      <w:r>
        <w:t>Functional Requirements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2"/>
        <w:gridCol w:w="1324"/>
        <w:gridCol w:w="4570"/>
        <w:gridCol w:w="3419"/>
        <w:gridCol w:w="4588"/>
        <w:gridCol w:w="1063"/>
        <w:gridCol w:w="2512"/>
        <w:gridCol w:w="2089"/>
      </w:tblGrid>
      <w:tr w:rsidR="00202231" w14:paraId="4DC6BE14" w14:textId="77777777" w:rsidTr="00C34C8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C449D8" w14:textId="77777777" w:rsidR="00202231" w:rsidRDefault="00000000">
            <w:pPr>
              <w:pStyle w:val="Compact"/>
            </w:pPr>
            <w:r>
              <w:t>Requirement ID</w:t>
            </w:r>
          </w:p>
        </w:tc>
        <w:tc>
          <w:tcPr>
            <w:tcW w:w="0" w:type="auto"/>
            <w:tcBorders>
              <w:bottom w:val="none" w:sz="0" w:space="0" w:color="auto"/>
            </w:tcBorders>
          </w:tcPr>
          <w:p w14:paraId="3C51A10F" w14:textId="77777777" w:rsidR="00202231" w:rsidRDefault="00000000">
            <w:pPr>
              <w:pStyle w:val="Compact"/>
            </w:pPr>
            <w:r>
              <w:t>Type</w:t>
            </w:r>
          </w:p>
        </w:tc>
        <w:tc>
          <w:tcPr>
            <w:tcW w:w="0" w:type="auto"/>
            <w:tcBorders>
              <w:bottom w:val="none" w:sz="0" w:space="0" w:color="auto"/>
            </w:tcBorders>
          </w:tcPr>
          <w:p w14:paraId="229CA221" w14:textId="77777777" w:rsidR="00202231" w:rsidRDefault="00000000">
            <w:pPr>
              <w:pStyle w:val="Compact"/>
            </w:pPr>
            <w:r>
              <w:t>Description</w:t>
            </w:r>
          </w:p>
        </w:tc>
        <w:tc>
          <w:tcPr>
            <w:tcW w:w="0" w:type="auto"/>
            <w:tcBorders>
              <w:bottom w:val="none" w:sz="0" w:space="0" w:color="auto"/>
            </w:tcBorders>
          </w:tcPr>
          <w:p w14:paraId="6E04921E" w14:textId="77777777" w:rsidR="00202231" w:rsidRDefault="00000000">
            <w:pPr>
              <w:pStyle w:val="Compact"/>
            </w:pPr>
            <w:r>
              <w:t>Rationale</w:t>
            </w:r>
          </w:p>
        </w:tc>
        <w:tc>
          <w:tcPr>
            <w:tcW w:w="0" w:type="auto"/>
            <w:tcBorders>
              <w:bottom w:val="none" w:sz="0" w:space="0" w:color="auto"/>
            </w:tcBorders>
          </w:tcPr>
          <w:p w14:paraId="406689B3" w14:textId="77777777" w:rsidR="00202231" w:rsidRDefault="00000000">
            <w:pPr>
              <w:pStyle w:val="Compact"/>
            </w:pPr>
            <w:r>
              <w:t>Acceptance Criteria</w:t>
            </w:r>
          </w:p>
        </w:tc>
        <w:tc>
          <w:tcPr>
            <w:tcW w:w="0" w:type="auto"/>
            <w:tcBorders>
              <w:bottom w:val="none" w:sz="0" w:space="0" w:color="auto"/>
            </w:tcBorders>
          </w:tcPr>
          <w:p w14:paraId="38BD7B29" w14:textId="77777777" w:rsidR="00202231" w:rsidRDefault="00000000">
            <w:pPr>
              <w:pStyle w:val="Compact"/>
            </w:pPr>
            <w:r>
              <w:t>Priority</w:t>
            </w:r>
          </w:p>
        </w:tc>
        <w:tc>
          <w:tcPr>
            <w:tcW w:w="0" w:type="auto"/>
            <w:tcBorders>
              <w:bottom w:val="none" w:sz="0" w:space="0" w:color="auto"/>
            </w:tcBorders>
          </w:tcPr>
          <w:p w14:paraId="582A9348" w14:textId="77777777" w:rsidR="00202231" w:rsidRDefault="00000000">
            <w:pPr>
              <w:pStyle w:val="Compact"/>
            </w:pPr>
            <w:r>
              <w:t>Source</w:t>
            </w:r>
          </w:p>
        </w:tc>
        <w:tc>
          <w:tcPr>
            <w:tcW w:w="0" w:type="auto"/>
            <w:tcBorders>
              <w:bottom w:val="none" w:sz="0" w:space="0" w:color="auto"/>
            </w:tcBorders>
          </w:tcPr>
          <w:p w14:paraId="7461249E" w14:textId="77777777" w:rsidR="00202231" w:rsidRDefault="00000000">
            <w:pPr>
              <w:pStyle w:val="Compact"/>
            </w:pPr>
            <w:r>
              <w:t>Traceability Note</w:t>
            </w:r>
          </w:p>
        </w:tc>
      </w:tr>
      <w:tr w:rsidR="00202231" w14:paraId="64E4A265" w14:textId="77777777" w:rsidTr="00C34C82">
        <w:tc>
          <w:tcPr>
            <w:tcW w:w="0" w:type="auto"/>
          </w:tcPr>
          <w:p w14:paraId="5C76E8B2" w14:textId="77777777" w:rsidR="00202231" w:rsidRDefault="00000000">
            <w:pPr>
              <w:pStyle w:val="Compact"/>
            </w:pPr>
            <w:r>
              <w:t>FR-1</w:t>
            </w:r>
          </w:p>
        </w:tc>
        <w:tc>
          <w:tcPr>
            <w:tcW w:w="0" w:type="auto"/>
          </w:tcPr>
          <w:p w14:paraId="58C9CFED" w14:textId="77777777" w:rsidR="00202231" w:rsidRDefault="00000000">
            <w:pPr>
              <w:pStyle w:val="Compact"/>
            </w:pPr>
            <w:r>
              <w:t>Functional</w:t>
            </w:r>
          </w:p>
        </w:tc>
        <w:tc>
          <w:tcPr>
            <w:tcW w:w="0" w:type="auto"/>
          </w:tcPr>
          <w:p w14:paraId="513A9A14" w14:textId="77777777" w:rsidR="00202231" w:rsidRDefault="00000000">
            <w:pPr>
              <w:pStyle w:val="Compact"/>
            </w:pPr>
            <w:r>
              <w:t>Patient Intake &amp; Record Creation – Upon patient arrival, the system shall create a unique patient record (if one does not exist) with a unique identifier, capturing initial patient demographics and complaint. This record will be updated by all subsequent agents throughout the patient journey to serve as a single source of truth.</w:t>
            </w:r>
          </w:p>
        </w:tc>
        <w:tc>
          <w:tcPr>
            <w:tcW w:w="0" w:type="auto"/>
          </w:tcPr>
          <w:p w14:paraId="5035C915" w14:textId="77777777" w:rsidR="00202231" w:rsidRDefault="00000000">
            <w:pPr>
              <w:pStyle w:val="Compact"/>
            </w:pPr>
            <w:r>
              <w:t>Ensures each patient is identified and their information is consistently tracked across all departments, enabling continuity of care.</w:t>
            </w:r>
          </w:p>
        </w:tc>
        <w:tc>
          <w:tcPr>
            <w:tcW w:w="0" w:type="auto"/>
          </w:tcPr>
          <w:p w14:paraId="3A6FFFF9" w14:textId="77777777" w:rsidR="00202231" w:rsidRDefault="00000000">
            <w:pPr>
              <w:pStyle w:val="Compact"/>
            </w:pPr>
            <w:r>
              <w:t>When a new patient arrives, a unique Patient ID is generated and stored, and all agents can retrieve this record (with the initial data) for that ID. Verification test: after triage, the patient’s record contains the triage data; after diagnosis, it contains diagnostic results, etc.</w:t>
            </w:r>
          </w:p>
        </w:tc>
        <w:tc>
          <w:tcPr>
            <w:tcW w:w="0" w:type="auto"/>
          </w:tcPr>
          <w:p w14:paraId="75BBC906" w14:textId="77777777" w:rsidR="00202231" w:rsidRDefault="00000000">
            <w:pPr>
              <w:pStyle w:val="Compact"/>
            </w:pPr>
            <w:r>
              <w:t>High</w:t>
            </w:r>
          </w:p>
        </w:tc>
        <w:tc>
          <w:tcPr>
            <w:tcW w:w="0" w:type="auto"/>
          </w:tcPr>
          <w:p w14:paraId="401BD5A7" w14:textId="77777777" w:rsidR="00202231" w:rsidRDefault="00000000">
            <w:pPr>
              <w:pStyle w:val="Compact"/>
            </w:pPr>
            <w:r>
              <w:t>Hospital workflow requirement (registration/intake)</w:t>
            </w:r>
          </w:p>
        </w:tc>
        <w:tc>
          <w:tcPr>
            <w:tcW w:w="0" w:type="auto"/>
          </w:tcPr>
          <w:p w14:paraId="06E045DB" w14:textId="77777777" w:rsidR="00202231" w:rsidRDefault="00000000">
            <w:pPr>
              <w:pStyle w:val="Compact"/>
            </w:pPr>
            <w:r>
              <w:t>Use Case: Patient Arrival (Start of Journey)</w:t>
            </w:r>
          </w:p>
        </w:tc>
      </w:tr>
      <w:tr w:rsidR="00202231" w14:paraId="7CB604C0" w14:textId="77777777" w:rsidTr="00C34C82">
        <w:tc>
          <w:tcPr>
            <w:tcW w:w="0" w:type="auto"/>
          </w:tcPr>
          <w:p w14:paraId="3236F39B" w14:textId="77777777" w:rsidR="00202231" w:rsidRDefault="00000000">
            <w:pPr>
              <w:pStyle w:val="Compact"/>
            </w:pPr>
            <w:r>
              <w:t>FR-2</w:t>
            </w:r>
          </w:p>
        </w:tc>
        <w:tc>
          <w:tcPr>
            <w:tcW w:w="0" w:type="auto"/>
          </w:tcPr>
          <w:p w14:paraId="012C3EE7" w14:textId="77777777" w:rsidR="00202231" w:rsidRDefault="00000000">
            <w:pPr>
              <w:pStyle w:val="Compact"/>
            </w:pPr>
            <w:r>
              <w:t>Functional</w:t>
            </w:r>
          </w:p>
        </w:tc>
        <w:tc>
          <w:tcPr>
            <w:tcW w:w="0" w:type="auto"/>
          </w:tcPr>
          <w:p w14:paraId="1975E33C" w14:textId="77777777" w:rsidR="00202231" w:rsidRDefault="00000000">
            <w:pPr>
              <w:pStyle w:val="Compact"/>
            </w:pPr>
            <w:r>
              <w:t>Triage Assessment – The Triage Agent shall evaluate the patient’s condition upon arrival using standard Emergency Severity Index (ESI) guidelines via AI reasoning and assign a triage level (1 through 5) with an urgency category and clinical rationale</w:t>
            </w:r>
            <w:hyperlink r:id="rId5" w:anchor="all/19c2a5175e7dffda">
              <w:r>
                <w:rPr>
                  <w:rStyle w:val="Hyperlink"/>
                </w:rPr>
                <w:t>[1]</w:t>
              </w:r>
            </w:hyperlink>
            <w:r>
              <w:t>.</w:t>
            </w:r>
          </w:p>
        </w:tc>
        <w:tc>
          <w:tcPr>
            <w:tcW w:w="0" w:type="auto"/>
          </w:tcPr>
          <w:p w14:paraId="5A9B3AEE" w14:textId="77777777" w:rsidR="00202231" w:rsidRDefault="00000000">
            <w:pPr>
              <w:pStyle w:val="Compact"/>
            </w:pPr>
            <w:r>
              <w:t>To immediately identify critical patients and prioritize care based on severity.</w:t>
            </w:r>
          </w:p>
        </w:tc>
        <w:tc>
          <w:tcPr>
            <w:tcW w:w="0" w:type="auto"/>
          </w:tcPr>
          <w:p w14:paraId="1030A267" w14:textId="77777777" w:rsidR="00202231" w:rsidRDefault="00000000">
            <w:pPr>
              <w:pStyle w:val="Compact"/>
            </w:pPr>
            <w:r>
              <w:t>For example, given a patient with severe chest pain and abnormal vitals, the Triage Agent classifies them as ESI Level 2 (high risk) and provides a justification. In testing, the triage outcome and rationale should align with expert clinician judgment for sample cases.</w:t>
            </w:r>
          </w:p>
        </w:tc>
        <w:tc>
          <w:tcPr>
            <w:tcW w:w="0" w:type="auto"/>
          </w:tcPr>
          <w:p w14:paraId="34D314CC" w14:textId="77777777" w:rsidR="00202231" w:rsidRDefault="00000000">
            <w:pPr>
              <w:pStyle w:val="Compact"/>
            </w:pPr>
            <w:r>
              <w:t>High</w:t>
            </w:r>
          </w:p>
        </w:tc>
        <w:tc>
          <w:tcPr>
            <w:tcW w:w="0" w:type="auto"/>
          </w:tcPr>
          <w:p w14:paraId="20D1A59C" w14:textId="77777777" w:rsidR="00202231" w:rsidRDefault="00000000">
            <w:pPr>
              <w:pStyle w:val="Compact"/>
            </w:pPr>
            <w:r>
              <w:t>Clinical requirement (ED triage protocol)</w:t>
            </w:r>
          </w:p>
        </w:tc>
        <w:tc>
          <w:tcPr>
            <w:tcW w:w="0" w:type="auto"/>
          </w:tcPr>
          <w:p w14:paraId="25CB20CC" w14:textId="77777777" w:rsidR="00202231" w:rsidRDefault="00000000">
            <w:pPr>
              <w:pStyle w:val="Compact"/>
            </w:pPr>
            <w:r>
              <w:t>Stage: Triage</w:t>
            </w:r>
          </w:p>
        </w:tc>
      </w:tr>
      <w:tr w:rsidR="00202231" w14:paraId="2C9CD8D6" w14:textId="77777777" w:rsidTr="00C34C82">
        <w:tc>
          <w:tcPr>
            <w:tcW w:w="0" w:type="auto"/>
          </w:tcPr>
          <w:p w14:paraId="6DE1475D" w14:textId="77777777" w:rsidR="00202231" w:rsidRDefault="00000000">
            <w:pPr>
              <w:pStyle w:val="Compact"/>
            </w:pPr>
            <w:r>
              <w:t>FR-3</w:t>
            </w:r>
          </w:p>
        </w:tc>
        <w:tc>
          <w:tcPr>
            <w:tcW w:w="0" w:type="auto"/>
          </w:tcPr>
          <w:p w14:paraId="767BA04F" w14:textId="77777777" w:rsidR="00202231" w:rsidRDefault="00000000">
            <w:pPr>
              <w:pStyle w:val="Compact"/>
            </w:pPr>
            <w:r>
              <w:t>Functional</w:t>
            </w:r>
          </w:p>
        </w:tc>
        <w:tc>
          <w:tcPr>
            <w:tcW w:w="0" w:type="auto"/>
          </w:tcPr>
          <w:p w14:paraId="7FC1FBB2" w14:textId="77777777" w:rsidR="00202231" w:rsidRDefault="00000000">
            <w:pPr>
              <w:pStyle w:val="Compact"/>
            </w:pPr>
            <w:r>
              <w:t>Diagnostic Analysis – The Diagnostics Agent shall analyze the patient's symptoms, history, and initial findings to generate differential diagnoses (including primary and alternate conditions) and recommend further diagnostic tests or initial treatments</w:t>
            </w:r>
            <w:hyperlink r:id="rId6" w:anchor="all/19c2a5175e7dffda">
              <w:r>
                <w:rPr>
                  <w:rStyle w:val="Hyperlink"/>
                </w:rPr>
                <w:t>[2]</w:t>
              </w:r>
            </w:hyperlink>
            <w:r>
              <w:t>.</w:t>
            </w:r>
          </w:p>
        </w:tc>
        <w:tc>
          <w:tcPr>
            <w:tcW w:w="0" w:type="auto"/>
          </w:tcPr>
          <w:p w14:paraId="4FE1C563" w14:textId="77777777" w:rsidR="00202231" w:rsidRDefault="00000000">
            <w:pPr>
              <w:pStyle w:val="Compact"/>
            </w:pPr>
            <w:r>
              <w:t>Provides decision support for clinicians by rapidly synthesizing patient data into likely diagnoses and suggesting next steps for confirmation.</w:t>
            </w:r>
          </w:p>
        </w:tc>
        <w:tc>
          <w:tcPr>
            <w:tcW w:w="0" w:type="auto"/>
          </w:tcPr>
          <w:p w14:paraId="235E4C32" w14:textId="77777777" w:rsidR="00202231" w:rsidRDefault="00000000">
            <w:pPr>
              <w:pStyle w:val="Compact"/>
            </w:pPr>
            <w:r>
              <w:t>Given a triage report (e.g. chest pain with high ESI), the Diagnostics Agent returns a ranked list of possible diagnoses (e.g. myocardial infarction, pulmonary embolism) and recommends tests (e.g. ECG, troponin test) or therapies. The outputs are clinically plausible and validated by domain experts in review.</w:t>
            </w:r>
          </w:p>
        </w:tc>
        <w:tc>
          <w:tcPr>
            <w:tcW w:w="0" w:type="auto"/>
          </w:tcPr>
          <w:p w14:paraId="739DDCD9" w14:textId="77777777" w:rsidR="00202231" w:rsidRDefault="00000000">
            <w:pPr>
              <w:pStyle w:val="Compact"/>
            </w:pPr>
            <w:r>
              <w:t>High</w:t>
            </w:r>
          </w:p>
        </w:tc>
        <w:tc>
          <w:tcPr>
            <w:tcW w:w="0" w:type="auto"/>
          </w:tcPr>
          <w:p w14:paraId="0A2E6400" w14:textId="77777777" w:rsidR="00202231" w:rsidRDefault="00000000">
            <w:pPr>
              <w:pStyle w:val="Compact"/>
            </w:pPr>
            <w:r>
              <w:t>Clinical requirement (diagnostic decision support)</w:t>
            </w:r>
          </w:p>
        </w:tc>
        <w:tc>
          <w:tcPr>
            <w:tcW w:w="0" w:type="auto"/>
          </w:tcPr>
          <w:p w14:paraId="30BF0E85" w14:textId="77777777" w:rsidR="00202231" w:rsidRDefault="00000000">
            <w:pPr>
              <w:pStyle w:val="Compact"/>
            </w:pPr>
            <w:r>
              <w:t>Stage: Diagnostics</w:t>
            </w:r>
          </w:p>
        </w:tc>
      </w:tr>
      <w:tr w:rsidR="00202231" w14:paraId="2BF3928C" w14:textId="77777777" w:rsidTr="00C34C82">
        <w:tc>
          <w:tcPr>
            <w:tcW w:w="0" w:type="auto"/>
          </w:tcPr>
          <w:p w14:paraId="18375F63" w14:textId="77777777" w:rsidR="00202231" w:rsidRDefault="00000000">
            <w:pPr>
              <w:pStyle w:val="Compact"/>
            </w:pPr>
            <w:r>
              <w:t>FR-4</w:t>
            </w:r>
          </w:p>
        </w:tc>
        <w:tc>
          <w:tcPr>
            <w:tcW w:w="0" w:type="auto"/>
          </w:tcPr>
          <w:p w14:paraId="1F53240C" w14:textId="77777777" w:rsidR="00202231" w:rsidRDefault="00000000">
            <w:pPr>
              <w:pStyle w:val="Compact"/>
            </w:pPr>
            <w:r>
              <w:t>Functional</w:t>
            </w:r>
          </w:p>
        </w:tc>
        <w:tc>
          <w:tcPr>
            <w:tcW w:w="0" w:type="auto"/>
          </w:tcPr>
          <w:p w14:paraId="539A93FC" w14:textId="77777777" w:rsidR="00202231" w:rsidRDefault="00000000">
            <w:pPr>
              <w:pStyle w:val="Compact"/>
            </w:pPr>
            <w:r>
              <w:t>Imaging Coordination &amp; Analysis – The Imaging Agent shall handle imaging study requests (e.g., X-ray, CT, MRI) as ordered by the Diagnostics Agent. It will retrieve or receive the imaging data and apply AI image analysis algorithms to detect relevant findings (e.g., fractures, lesions), then return the results and annotated images back to the requesting agent or record.</w:t>
            </w:r>
          </w:p>
        </w:tc>
        <w:tc>
          <w:tcPr>
            <w:tcW w:w="0" w:type="auto"/>
          </w:tcPr>
          <w:p w14:paraId="6C2C0A27" w14:textId="77777777" w:rsidR="00202231" w:rsidRDefault="00000000">
            <w:pPr>
              <w:pStyle w:val="Compact"/>
            </w:pPr>
            <w:r>
              <w:t>Integrates radiology into the workflow, ensuring that imaging studies are promptly analyzed and their results incorporated into the diagnosis without waiting for manual review.</w:t>
            </w:r>
          </w:p>
        </w:tc>
        <w:tc>
          <w:tcPr>
            <w:tcW w:w="0" w:type="auto"/>
          </w:tcPr>
          <w:p w14:paraId="708E71AD" w14:textId="77777777" w:rsidR="00202231" w:rsidRDefault="00000000">
            <w:pPr>
              <w:pStyle w:val="Compact"/>
            </w:pPr>
            <w:r>
              <w:t>In a test scenario where a chest X-ray is required for diagnosis, the Imaging Agent accepts the request, either simulates acquiring the image or takes a provided image, analyzes it (e.g., identifying an infiltrate indicating pneumonia), and responds with the findings. The requesting Diagnostics Agent receives the result and updates the patient record. All image data remains linked to the patient’s record for physician review.</w:t>
            </w:r>
          </w:p>
        </w:tc>
        <w:tc>
          <w:tcPr>
            <w:tcW w:w="0" w:type="auto"/>
          </w:tcPr>
          <w:p w14:paraId="23ABEF43" w14:textId="77777777" w:rsidR="00202231" w:rsidRDefault="00000000">
            <w:pPr>
              <w:pStyle w:val="Compact"/>
            </w:pPr>
            <w:r>
              <w:t>High</w:t>
            </w:r>
          </w:p>
        </w:tc>
        <w:tc>
          <w:tcPr>
            <w:tcW w:w="0" w:type="auto"/>
          </w:tcPr>
          <w:p w14:paraId="1606A918" w14:textId="77777777" w:rsidR="00202231" w:rsidRDefault="00000000">
            <w:pPr>
              <w:pStyle w:val="Compact"/>
            </w:pPr>
            <w:r>
              <w:t>Radiology workflow integration</w:t>
            </w:r>
          </w:p>
        </w:tc>
        <w:tc>
          <w:tcPr>
            <w:tcW w:w="0" w:type="auto"/>
          </w:tcPr>
          <w:p w14:paraId="1891C9B3" w14:textId="77777777" w:rsidR="00202231" w:rsidRDefault="00000000">
            <w:pPr>
              <w:pStyle w:val="Compact"/>
            </w:pPr>
            <w:r>
              <w:t>Stage: Imaging</w:t>
            </w:r>
          </w:p>
        </w:tc>
      </w:tr>
      <w:tr w:rsidR="00202231" w14:paraId="41DE1F5A" w14:textId="77777777" w:rsidTr="00C34C82">
        <w:tc>
          <w:tcPr>
            <w:tcW w:w="0" w:type="auto"/>
          </w:tcPr>
          <w:p w14:paraId="3A49D961" w14:textId="77777777" w:rsidR="00202231" w:rsidRDefault="00000000">
            <w:pPr>
              <w:pStyle w:val="Compact"/>
            </w:pPr>
            <w:r>
              <w:lastRenderedPageBreak/>
              <w:t>FR-5</w:t>
            </w:r>
          </w:p>
        </w:tc>
        <w:tc>
          <w:tcPr>
            <w:tcW w:w="0" w:type="auto"/>
          </w:tcPr>
          <w:p w14:paraId="3E2533E2" w14:textId="77777777" w:rsidR="00202231" w:rsidRDefault="00000000">
            <w:pPr>
              <w:pStyle w:val="Compact"/>
            </w:pPr>
            <w:r>
              <w:t>Functional</w:t>
            </w:r>
          </w:p>
        </w:tc>
        <w:tc>
          <w:tcPr>
            <w:tcW w:w="0" w:type="auto"/>
          </w:tcPr>
          <w:p w14:paraId="3444302E" w14:textId="77777777" w:rsidR="00202231" w:rsidRDefault="00000000">
            <w:pPr>
              <w:pStyle w:val="Compact"/>
            </w:pPr>
            <w:r>
              <w:t>Pharmacy Recommendations – The Pharmacy Agent shall evaluate the diagnoses or treatment plans and suggest appropriate medications (including dosage and route) while checking for potential drug interactions or allergies using patient data. It will produce medication orders or recommendations for clinician approval.</w:t>
            </w:r>
          </w:p>
        </w:tc>
        <w:tc>
          <w:tcPr>
            <w:tcW w:w="0" w:type="auto"/>
          </w:tcPr>
          <w:p w14:paraId="36F92EB3" w14:textId="77777777" w:rsidR="00202231" w:rsidRDefault="00000000">
            <w:pPr>
              <w:pStyle w:val="Compact"/>
            </w:pPr>
            <w:r>
              <w:t>Ensures that medication decisions are optimized by AI to prevent errors and adverse interactions, and to speed up the prescription process.</w:t>
            </w:r>
          </w:p>
        </w:tc>
        <w:tc>
          <w:tcPr>
            <w:tcW w:w="0" w:type="auto"/>
          </w:tcPr>
          <w:p w14:paraId="108168A4" w14:textId="77777777" w:rsidR="00202231" w:rsidRDefault="00000000">
            <w:pPr>
              <w:pStyle w:val="Compact"/>
            </w:pPr>
            <w:r>
              <w:t>For a given diagnosis (e.g., bacterial pneumonia), the Pharmacy Agent recommends an antibiotic (e.g., Levofloxacin) with dosage tailored to patient factors, and cross-checks patient allergy records (e.g., flagging if allergic) and other medications for interactions. The recommendation is logged and awaits confirmation. Tests confirm that contraindicated drug suggestions are appropriately filtered out.</w:t>
            </w:r>
          </w:p>
        </w:tc>
        <w:tc>
          <w:tcPr>
            <w:tcW w:w="0" w:type="auto"/>
          </w:tcPr>
          <w:p w14:paraId="4F98065D" w14:textId="77777777" w:rsidR="00202231" w:rsidRDefault="00000000">
            <w:pPr>
              <w:pStyle w:val="Compact"/>
            </w:pPr>
            <w:r>
              <w:t>Medium</w:t>
            </w:r>
          </w:p>
        </w:tc>
        <w:tc>
          <w:tcPr>
            <w:tcW w:w="0" w:type="auto"/>
          </w:tcPr>
          <w:p w14:paraId="1638ECC3" w14:textId="77777777" w:rsidR="00202231" w:rsidRDefault="00000000">
            <w:pPr>
              <w:pStyle w:val="Compact"/>
            </w:pPr>
            <w:r>
              <w:t>Clinical pharmacy support requirement</w:t>
            </w:r>
          </w:p>
        </w:tc>
        <w:tc>
          <w:tcPr>
            <w:tcW w:w="0" w:type="auto"/>
          </w:tcPr>
          <w:p w14:paraId="20DFB98D" w14:textId="77777777" w:rsidR="00202231" w:rsidRDefault="00000000">
            <w:pPr>
              <w:pStyle w:val="Compact"/>
            </w:pPr>
            <w:r>
              <w:t>Stage: Treatment Planning</w:t>
            </w:r>
          </w:p>
        </w:tc>
      </w:tr>
      <w:tr w:rsidR="00202231" w14:paraId="1DB0BC8C" w14:textId="77777777" w:rsidTr="00C34C82">
        <w:tc>
          <w:tcPr>
            <w:tcW w:w="0" w:type="auto"/>
          </w:tcPr>
          <w:p w14:paraId="0165A454" w14:textId="77777777" w:rsidR="00202231" w:rsidRDefault="00000000">
            <w:pPr>
              <w:pStyle w:val="Compact"/>
            </w:pPr>
            <w:r>
              <w:t>FR-6</w:t>
            </w:r>
          </w:p>
        </w:tc>
        <w:tc>
          <w:tcPr>
            <w:tcW w:w="0" w:type="auto"/>
          </w:tcPr>
          <w:p w14:paraId="335DDBD2" w14:textId="77777777" w:rsidR="00202231" w:rsidRDefault="00000000">
            <w:pPr>
              <w:pStyle w:val="Compact"/>
            </w:pPr>
            <w:r>
              <w:t>Functional</w:t>
            </w:r>
          </w:p>
        </w:tc>
        <w:tc>
          <w:tcPr>
            <w:tcW w:w="0" w:type="auto"/>
          </w:tcPr>
          <w:p w14:paraId="32C6CEB3" w14:textId="77777777" w:rsidR="00202231" w:rsidRDefault="00000000">
            <w:pPr>
              <w:pStyle w:val="Compact"/>
            </w:pPr>
            <w:r>
              <w:t>Admission Management – The Admission Agent shall manage hospital admission for patients needing inpatient care. This includes assigning the patient to an available bed/unit based on their condition (e.g., ICU for critical cases), initiating admission paperwork, and updating the patient’s status to “Admitted” in the record, while notifying relevant departments of the new admission.</w:t>
            </w:r>
          </w:p>
        </w:tc>
        <w:tc>
          <w:tcPr>
            <w:tcW w:w="0" w:type="auto"/>
          </w:tcPr>
          <w:p w14:paraId="0FF46BFB" w14:textId="77777777" w:rsidR="00202231" w:rsidRDefault="00000000">
            <w:pPr>
              <w:pStyle w:val="Compact"/>
            </w:pPr>
            <w:r>
              <w:t>Streamlines the handoff from emergency or outpatient to inpatient care, ensuring resources (beds, staff) are allocated swiftly and the care team is informed.</w:t>
            </w:r>
          </w:p>
        </w:tc>
        <w:tc>
          <w:tcPr>
            <w:tcW w:w="0" w:type="auto"/>
          </w:tcPr>
          <w:p w14:paraId="2EDF27D5" w14:textId="77777777" w:rsidR="00202231" w:rsidRDefault="00000000">
            <w:pPr>
              <w:pStyle w:val="Compact"/>
            </w:pPr>
            <w:r>
              <w:t>Upon a Diagnostics Agent indicating that a patient requires hospital admission, the Admission Agent finds an open bed (per hospital bed availability data), records the bed assignment in the patient’s record (e.g., “Admitted to Cardiac ICU, Bed 5”), and sends a notification event or message to the nursing station. In testing, an admission request results in a confirmed bed assignment and status change in under 30 seconds, or a clear error if no bed is available.</w:t>
            </w:r>
          </w:p>
        </w:tc>
        <w:tc>
          <w:tcPr>
            <w:tcW w:w="0" w:type="auto"/>
          </w:tcPr>
          <w:p w14:paraId="4207D595" w14:textId="77777777" w:rsidR="00202231" w:rsidRDefault="00000000">
            <w:pPr>
              <w:pStyle w:val="Compact"/>
            </w:pPr>
            <w:r>
              <w:t>High</w:t>
            </w:r>
          </w:p>
        </w:tc>
        <w:tc>
          <w:tcPr>
            <w:tcW w:w="0" w:type="auto"/>
          </w:tcPr>
          <w:p w14:paraId="419983FE" w14:textId="77777777" w:rsidR="00202231" w:rsidRDefault="00000000">
            <w:pPr>
              <w:pStyle w:val="Compact"/>
            </w:pPr>
            <w:r>
              <w:t>Hospital operations requirement</w:t>
            </w:r>
          </w:p>
        </w:tc>
        <w:tc>
          <w:tcPr>
            <w:tcW w:w="0" w:type="auto"/>
          </w:tcPr>
          <w:p w14:paraId="396974C0" w14:textId="77777777" w:rsidR="00202231" w:rsidRDefault="00000000">
            <w:pPr>
              <w:pStyle w:val="Compact"/>
            </w:pPr>
            <w:r>
              <w:t>Stage: Admission</w:t>
            </w:r>
          </w:p>
        </w:tc>
      </w:tr>
      <w:tr w:rsidR="00202231" w14:paraId="2E9D2876" w14:textId="77777777" w:rsidTr="00C34C82">
        <w:tc>
          <w:tcPr>
            <w:tcW w:w="0" w:type="auto"/>
          </w:tcPr>
          <w:p w14:paraId="203E15B0" w14:textId="77777777" w:rsidR="00202231" w:rsidRDefault="00000000">
            <w:pPr>
              <w:pStyle w:val="Compact"/>
            </w:pPr>
            <w:r>
              <w:t>FR-7</w:t>
            </w:r>
          </w:p>
        </w:tc>
        <w:tc>
          <w:tcPr>
            <w:tcW w:w="0" w:type="auto"/>
          </w:tcPr>
          <w:p w14:paraId="08D2B7B7" w14:textId="77777777" w:rsidR="00202231" w:rsidRDefault="00000000">
            <w:pPr>
              <w:pStyle w:val="Compact"/>
            </w:pPr>
            <w:r>
              <w:t>Functional</w:t>
            </w:r>
          </w:p>
        </w:tc>
        <w:tc>
          <w:tcPr>
            <w:tcW w:w="0" w:type="auto"/>
          </w:tcPr>
          <w:p w14:paraId="16DE927E" w14:textId="77777777" w:rsidR="00202231" w:rsidRDefault="00000000">
            <w:pPr>
              <w:pStyle w:val="Compact"/>
            </w:pPr>
            <w:r>
              <w:t>Discharge Planning – The Discharge Agent shall oversee the discharge process for patients ready to leave the hospital. It compiles a discharge summary including diagnoses, treatments given, medication instructions, and follow-up appointments or referrals. It verifies that all final tasks (e.g., prescription given, patient education) are complete and then marks the patient’s status as “Discharged”.</w:t>
            </w:r>
          </w:p>
        </w:tc>
        <w:tc>
          <w:tcPr>
            <w:tcW w:w="0" w:type="auto"/>
          </w:tcPr>
          <w:p w14:paraId="73A6A949" w14:textId="77777777" w:rsidR="00202231" w:rsidRDefault="00000000">
            <w:pPr>
              <w:pStyle w:val="Compact"/>
            </w:pPr>
            <w:r>
              <w:t>Ensures a safe transition out of the hospital with complete documentation and continuity of care (e.g., follow-up with primary care or specialists).</w:t>
            </w:r>
          </w:p>
        </w:tc>
        <w:tc>
          <w:tcPr>
            <w:tcW w:w="0" w:type="auto"/>
          </w:tcPr>
          <w:p w14:paraId="5BB95A97" w14:textId="77777777" w:rsidR="00202231" w:rsidRDefault="00000000">
            <w:pPr>
              <w:pStyle w:val="Compact"/>
            </w:pPr>
            <w:r>
              <w:t>When a physician/Diagnostics Agent indicates the patient can be discharged, the Discharge Agent generates a summary report (in a standard format) that contains the hospital course and next steps. For example, for a pneumonia patient, the summary lists the diagnosis, antibiotics given, any procedures, and follow-up visit in 1 week. The agent confirms that an electronic copy is stored in the record and optionally transmitted to the patient’s primary care provider. Test runs show the summary is generated and all required fields are present and accurate.</w:t>
            </w:r>
          </w:p>
        </w:tc>
        <w:tc>
          <w:tcPr>
            <w:tcW w:w="0" w:type="auto"/>
          </w:tcPr>
          <w:p w14:paraId="70D54378" w14:textId="77777777" w:rsidR="00202231" w:rsidRDefault="00000000">
            <w:pPr>
              <w:pStyle w:val="Compact"/>
            </w:pPr>
            <w:r>
              <w:t>High</w:t>
            </w:r>
          </w:p>
        </w:tc>
        <w:tc>
          <w:tcPr>
            <w:tcW w:w="0" w:type="auto"/>
          </w:tcPr>
          <w:p w14:paraId="408A5305" w14:textId="77777777" w:rsidR="00202231" w:rsidRDefault="00000000">
            <w:pPr>
              <w:pStyle w:val="Compact"/>
            </w:pPr>
            <w:r>
              <w:t>Clinical process requirement (discharge protocol)</w:t>
            </w:r>
          </w:p>
        </w:tc>
        <w:tc>
          <w:tcPr>
            <w:tcW w:w="0" w:type="auto"/>
          </w:tcPr>
          <w:p w14:paraId="159FCD8C" w14:textId="77777777" w:rsidR="00202231" w:rsidRDefault="00000000">
            <w:pPr>
              <w:pStyle w:val="Compact"/>
            </w:pPr>
            <w:r>
              <w:t>Stage: Discharge</w:t>
            </w:r>
          </w:p>
        </w:tc>
      </w:tr>
      <w:tr w:rsidR="00202231" w14:paraId="0047781E" w14:textId="77777777" w:rsidTr="00C34C82">
        <w:tc>
          <w:tcPr>
            <w:tcW w:w="0" w:type="auto"/>
          </w:tcPr>
          <w:p w14:paraId="5E25FDF9" w14:textId="77777777" w:rsidR="00202231" w:rsidRDefault="00000000">
            <w:pPr>
              <w:pStyle w:val="Compact"/>
            </w:pPr>
            <w:r>
              <w:t>FR-8</w:t>
            </w:r>
          </w:p>
        </w:tc>
        <w:tc>
          <w:tcPr>
            <w:tcW w:w="0" w:type="auto"/>
          </w:tcPr>
          <w:p w14:paraId="728D21C1" w14:textId="77777777" w:rsidR="00202231" w:rsidRDefault="00000000">
            <w:pPr>
              <w:pStyle w:val="Compact"/>
            </w:pPr>
            <w:r>
              <w:t>Functional</w:t>
            </w:r>
          </w:p>
        </w:tc>
        <w:tc>
          <w:tcPr>
            <w:tcW w:w="0" w:type="auto"/>
          </w:tcPr>
          <w:p w14:paraId="2B54E353" w14:textId="77777777" w:rsidR="00202231" w:rsidRDefault="00000000">
            <w:pPr>
              <w:pStyle w:val="Compact"/>
            </w:pPr>
            <w:r>
              <w:t xml:space="preserve">Care Coordination Orchestrator – The Care Coordination Agent shall orchestrate the end-to-end patient journey across all other agents. It initiates the workflow when a patient arrives, sequences or parallelizes tasks (e.g., triage → diagnostics → imaging → </w:t>
            </w:r>
            <w:r>
              <w:lastRenderedPageBreak/>
              <w:t>pharmacy → admission/discharge) as appropriate, and handles exceptions. The coordinator uses predefined workflow rules to decide which agent to invoke next and ensures that results from one agent are passed to the next relevant agent</w:t>
            </w:r>
            <w:hyperlink r:id="rId7" w:anchor="all/19c2a5175e7dffda">
              <w:r>
                <w:rPr>
                  <w:rStyle w:val="Hyperlink"/>
                </w:rPr>
                <w:t>[3]</w:t>
              </w:r>
            </w:hyperlink>
            <w:r>
              <w:t>. If any agent fails or returns an alert (e.g., patient condition worsening), the coordinator will adjust the plan or alert human staff as needed.</w:t>
            </w:r>
          </w:p>
        </w:tc>
        <w:tc>
          <w:tcPr>
            <w:tcW w:w="0" w:type="auto"/>
          </w:tcPr>
          <w:p w14:paraId="72A1A484" w14:textId="77777777" w:rsidR="00202231" w:rsidRDefault="00000000">
            <w:pPr>
              <w:pStyle w:val="Compact"/>
            </w:pPr>
            <w:r>
              <w:lastRenderedPageBreak/>
              <w:t>Provides a central intelligence to manage complex workflows that involve multiple departments, ensuring nothing is missed and optimizing the patient’s progression through the hospital.</w:t>
            </w:r>
          </w:p>
        </w:tc>
        <w:tc>
          <w:tcPr>
            <w:tcW w:w="0" w:type="auto"/>
          </w:tcPr>
          <w:p w14:paraId="3E315317" w14:textId="77777777" w:rsidR="00202231" w:rsidRDefault="00000000">
            <w:pPr>
              <w:pStyle w:val="Compact"/>
            </w:pPr>
            <w:r>
              <w:t xml:space="preserve">In an integrated test, the Care Coordination Agent receives a new patient trigger, then calls the Triage Agent and awaits its result, then calls the Diagnostics Agent, and so forth through discharge. The patient’s data flows through each step correctly. If, for </w:t>
            </w:r>
            <w:r>
              <w:lastRenderedPageBreak/>
              <w:t>example, the Imaging Agent is unavailable, the coordinator logs the failure and could retry or escalate the issue. The end-to-end scenario completes with the patient successfully discharged. This matches the expected workflow definition without manual intervention, demonstrating full autonomous coordination.</w:t>
            </w:r>
          </w:p>
        </w:tc>
        <w:tc>
          <w:tcPr>
            <w:tcW w:w="0" w:type="auto"/>
          </w:tcPr>
          <w:p w14:paraId="054D6C01" w14:textId="77777777" w:rsidR="00202231" w:rsidRDefault="00000000">
            <w:pPr>
              <w:pStyle w:val="Compact"/>
            </w:pPr>
            <w:r>
              <w:lastRenderedPageBreak/>
              <w:t>High</w:t>
            </w:r>
          </w:p>
        </w:tc>
        <w:tc>
          <w:tcPr>
            <w:tcW w:w="0" w:type="auto"/>
          </w:tcPr>
          <w:p w14:paraId="06352341" w14:textId="77777777" w:rsidR="00202231" w:rsidRDefault="00000000">
            <w:pPr>
              <w:pStyle w:val="Compact"/>
            </w:pPr>
            <w:r>
              <w:t>System design (workflow orchestration)</w:t>
            </w:r>
            <w:hyperlink r:id="rId8" w:anchor="all/19c2a5175e7dffda">
              <w:r>
                <w:rPr>
                  <w:rStyle w:val="Hyperlink"/>
                </w:rPr>
                <w:t>[3]</w:t>
              </w:r>
            </w:hyperlink>
          </w:p>
        </w:tc>
        <w:tc>
          <w:tcPr>
            <w:tcW w:w="0" w:type="auto"/>
          </w:tcPr>
          <w:p w14:paraId="3F9633A1" w14:textId="77777777" w:rsidR="00202231" w:rsidRDefault="00000000">
            <w:pPr>
              <w:pStyle w:val="Compact"/>
            </w:pPr>
            <w:r>
              <w:t>Entire Patient Journey orchestration</w:t>
            </w:r>
          </w:p>
        </w:tc>
      </w:tr>
      <w:tr w:rsidR="00202231" w14:paraId="64C97CDA" w14:textId="77777777" w:rsidTr="00C34C82">
        <w:tc>
          <w:tcPr>
            <w:tcW w:w="0" w:type="auto"/>
          </w:tcPr>
          <w:p w14:paraId="50D7B518" w14:textId="77777777" w:rsidR="00202231" w:rsidRDefault="00000000">
            <w:pPr>
              <w:pStyle w:val="Compact"/>
            </w:pPr>
            <w:r>
              <w:t>FR-9</w:t>
            </w:r>
          </w:p>
        </w:tc>
        <w:tc>
          <w:tcPr>
            <w:tcW w:w="0" w:type="auto"/>
          </w:tcPr>
          <w:p w14:paraId="7E4B3B46" w14:textId="77777777" w:rsidR="00202231" w:rsidRDefault="00000000">
            <w:pPr>
              <w:pStyle w:val="Compact"/>
            </w:pPr>
            <w:r>
              <w:t>Functional</w:t>
            </w:r>
          </w:p>
        </w:tc>
        <w:tc>
          <w:tcPr>
            <w:tcW w:w="0" w:type="auto"/>
          </w:tcPr>
          <w:p w14:paraId="272DE7B0" w14:textId="77777777" w:rsidR="00202231" w:rsidRDefault="00000000">
            <w:pPr>
              <w:pStyle w:val="Compact"/>
            </w:pPr>
            <w:r>
              <w:t xml:space="preserve">Agent Discovery Service – Each agent shall be discoverable by others through a standardized mechanism. Specifically, each agent must expose a discovery endpoint (for example, </w:t>
            </w:r>
            <w:r>
              <w:rPr>
                <w:rStyle w:val="VerbatimChar"/>
              </w:rPr>
              <w:t>/.well-known/agent-card.json</w:t>
            </w:r>
            <w:r>
              <w:t>) that advertises its identity, available methods/capabilities, and protocol version</w:t>
            </w:r>
            <w:hyperlink r:id="rId9" w:anchor="all/19c2a5175e7dffda">
              <w:r>
                <w:rPr>
                  <w:rStyle w:val="Hyperlink"/>
                </w:rPr>
                <w:t>[4]</w:t>
              </w:r>
            </w:hyperlink>
            <w:r>
              <w:t>. Agents shall use either a known registry service or configuration to locate the network address of other agents, then retrieve the agent-card to learn how to interact with them.</w:t>
            </w:r>
          </w:p>
        </w:tc>
        <w:tc>
          <w:tcPr>
            <w:tcW w:w="0" w:type="auto"/>
          </w:tcPr>
          <w:p w14:paraId="271E1D23" w14:textId="77777777" w:rsidR="00202231" w:rsidRDefault="00000000">
            <w:pPr>
              <w:pStyle w:val="Compact"/>
            </w:pPr>
            <w:r>
              <w:t>Allows dynamic discovery and integration of services, enabling loose coupling. New agents can be added to the system and announced via their agent card, and other agents can discover capabilities without hardcoding interfaces.</w:t>
            </w:r>
          </w:p>
        </w:tc>
        <w:tc>
          <w:tcPr>
            <w:tcW w:w="0" w:type="auto"/>
          </w:tcPr>
          <w:p w14:paraId="49508528" w14:textId="77777777" w:rsidR="00202231" w:rsidRDefault="00000000">
            <w:pPr>
              <w:pStyle w:val="Compact"/>
            </w:pPr>
            <w:r>
              <w:t xml:space="preserve">Using the discovery endpoint, if the Diagnostics Agent needs to call the Imaging Agent, it can retrieve the Imaging Agent’s agent-card JSON and find the method (e.g., </w:t>
            </w:r>
            <w:r>
              <w:rPr>
                <w:rStyle w:val="VerbatimChar"/>
              </w:rPr>
              <w:t>analyze_image</w:t>
            </w:r>
            <w:r>
              <w:t xml:space="preserve">) and expected parameters. In testing, each agent’s </w:t>
            </w:r>
            <w:r>
              <w:rPr>
                <w:rStyle w:val="VerbatimChar"/>
              </w:rPr>
              <w:t>.well-known/agent-card.json</w:t>
            </w:r>
            <w:r>
              <w:t xml:space="preserve"> is reachable over the network and contains correct metadata (name, role, methods, version). The Care Coordination Agent can fetch all agent cards at startup to build a directory of services.</w:t>
            </w:r>
          </w:p>
        </w:tc>
        <w:tc>
          <w:tcPr>
            <w:tcW w:w="0" w:type="auto"/>
          </w:tcPr>
          <w:p w14:paraId="31112746" w14:textId="77777777" w:rsidR="00202231" w:rsidRDefault="00000000">
            <w:pPr>
              <w:pStyle w:val="Compact"/>
            </w:pPr>
            <w:r>
              <w:t>High</w:t>
            </w:r>
          </w:p>
        </w:tc>
        <w:tc>
          <w:tcPr>
            <w:tcW w:w="0" w:type="auto"/>
          </w:tcPr>
          <w:p w14:paraId="7A1C76CD" w14:textId="77777777" w:rsidR="00202231" w:rsidRDefault="00000000">
            <w:pPr>
              <w:pStyle w:val="Compact"/>
            </w:pPr>
            <w:r>
              <w:t>NEXUS-A2A Protocol design</w:t>
            </w:r>
            <w:hyperlink r:id="rId10" w:anchor="all/19c2a5175e7dffda">
              <w:r>
                <w:rPr>
                  <w:rStyle w:val="Hyperlink"/>
                </w:rPr>
                <w:t>[4]</w:t>
              </w:r>
            </w:hyperlink>
          </w:p>
        </w:tc>
        <w:tc>
          <w:tcPr>
            <w:tcW w:w="0" w:type="auto"/>
          </w:tcPr>
          <w:p w14:paraId="31069687" w14:textId="77777777" w:rsidR="00202231" w:rsidRDefault="00000000">
            <w:pPr>
              <w:pStyle w:val="Compact"/>
            </w:pPr>
            <w:r>
              <w:t>System Integration (Service Discovery)</w:t>
            </w:r>
          </w:p>
        </w:tc>
      </w:tr>
      <w:tr w:rsidR="00202231" w14:paraId="308A6942" w14:textId="77777777" w:rsidTr="00C34C82">
        <w:tc>
          <w:tcPr>
            <w:tcW w:w="0" w:type="auto"/>
          </w:tcPr>
          <w:p w14:paraId="20C79FCC" w14:textId="77777777" w:rsidR="00202231" w:rsidRDefault="00000000">
            <w:pPr>
              <w:pStyle w:val="Compact"/>
            </w:pPr>
            <w:r>
              <w:t>FR-10</w:t>
            </w:r>
          </w:p>
        </w:tc>
        <w:tc>
          <w:tcPr>
            <w:tcW w:w="0" w:type="auto"/>
          </w:tcPr>
          <w:p w14:paraId="254A1E77" w14:textId="77777777" w:rsidR="00202231" w:rsidRDefault="00000000">
            <w:pPr>
              <w:pStyle w:val="Compact"/>
            </w:pPr>
            <w:r>
              <w:t>Functional</w:t>
            </w:r>
          </w:p>
        </w:tc>
        <w:tc>
          <w:tcPr>
            <w:tcW w:w="0" w:type="auto"/>
          </w:tcPr>
          <w:p w14:paraId="277F8E67" w14:textId="77777777" w:rsidR="00202231" w:rsidRDefault="00000000">
            <w:pPr>
              <w:pStyle w:val="Compact"/>
            </w:pPr>
            <w:r>
              <w:t xml:space="preserve">Inter-agent Task Invocation – Agents shall request services from one another using the NEXUS-A2A communication protocol, which is based on JSON-RPC 2.0 over HTTPS. A requesting agent will send a JSON-RPC request to the appropriate peer’s </w:t>
            </w:r>
            <w:r>
              <w:rPr>
                <w:rStyle w:val="VerbatimChar"/>
              </w:rPr>
              <w:t>/rpc</w:t>
            </w:r>
            <w:r>
              <w:t xml:space="preserve"> endpoint with a method name and parameters, and the receiving agent will perform the task and return a result or error</w:t>
            </w:r>
            <w:hyperlink r:id="rId11" w:anchor="all/19c2a5175e7dffda">
              <w:r>
                <w:rPr>
                  <w:rStyle w:val="Hyperlink"/>
                </w:rPr>
                <w:t>[5]</w:t>
              </w:r>
            </w:hyperlink>
            <w:r>
              <w:t>. Agents must handle these requests asynchronously if needed (not blocking the workflow while waiting).</w:t>
            </w:r>
          </w:p>
        </w:tc>
        <w:tc>
          <w:tcPr>
            <w:tcW w:w="0" w:type="auto"/>
          </w:tcPr>
          <w:p w14:paraId="6386D0B8" w14:textId="77777777" w:rsidR="00202231" w:rsidRDefault="00000000">
            <w:pPr>
              <w:pStyle w:val="Compact"/>
            </w:pPr>
            <w:r>
              <w:t>Defines a uniform way for agents to collaborate and delegate tasks. JSON-RPC provides a structured, language-neutral format for calls and responses, facilitating interoperability.</w:t>
            </w:r>
          </w:p>
        </w:tc>
        <w:tc>
          <w:tcPr>
            <w:tcW w:w="0" w:type="auto"/>
          </w:tcPr>
          <w:p w14:paraId="460211BD" w14:textId="77777777" w:rsidR="00202231" w:rsidRDefault="00000000">
            <w:pPr>
              <w:pStyle w:val="Compact"/>
            </w:pPr>
            <w:r>
              <w:t xml:space="preserve">For example, the Care Coordination Agent (or Triage Agent) issues a </w:t>
            </w:r>
            <w:r>
              <w:rPr>
                <w:rStyle w:val="VerbatimChar"/>
              </w:rPr>
              <w:t>diagnose_patient</w:t>
            </w:r>
            <w:r>
              <w:t xml:space="preserve"> RPC call to the Diagnostics Agent with the patient’s data. The Diagnostics Agent processes and returns a JSON-RPC response with diagnoses. Similarly, the Diagnostics Agent might call the Imaging Agent’s RPC method for an imaging study. In tests, these requests succeed over secure connections, and if an agent is down or returns an error, the error is in JSON-RPC format and logged appropriately. All defined RPC methods in the agent-card are reachable and execute their intended function.</w:t>
            </w:r>
          </w:p>
        </w:tc>
        <w:tc>
          <w:tcPr>
            <w:tcW w:w="0" w:type="auto"/>
          </w:tcPr>
          <w:p w14:paraId="586F52E8" w14:textId="77777777" w:rsidR="00202231" w:rsidRDefault="00000000">
            <w:pPr>
              <w:pStyle w:val="Compact"/>
            </w:pPr>
            <w:r>
              <w:t>High</w:t>
            </w:r>
          </w:p>
        </w:tc>
        <w:tc>
          <w:tcPr>
            <w:tcW w:w="0" w:type="auto"/>
          </w:tcPr>
          <w:p w14:paraId="41CC608D" w14:textId="77777777" w:rsidR="00202231" w:rsidRDefault="00000000">
            <w:pPr>
              <w:pStyle w:val="Compact"/>
            </w:pPr>
            <w:r>
              <w:t>NEXUS-A2A JSON-RPC interface spec</w:t>
            </w:r>
            <w:hyperlink r:id="rId12" w:anchor="all/19c2a5175e7dffda">
              <w:r>
                <w:rPr>
                  <w:rStyle w:val="Hyperlink"/>
                </w:rPr>
                <w:t>[5]</w:t>
              </w:r>
            </w:hyperlink>
          </w:p>
        </w:tc>
        <w:tc>
          <w:tcPr>
            <w:tcW w:w="0" w:type="auto"/>
          </w:tcPr>
          <w:p w14:paraId="58A0EBFF" w14:textId="77777777" w:rsidR="00202231" w:rsidRDefault="00000000">
            <w:pPr>
              <w:pStyle w:val="Compact"/>
            </w:pPr>
            <w:r>
              <w:t>Inter-agent Communication</w:t>
            </w:r>
          </w:p>
        </w:tc>
      </w:tr>
      <w:tr w:rsidR="00202231" w14:paraId="52690236" w14:textId="77777777" w:rsidTr="00C34C82">
        <w:tc>
          <w:tcPr>
            <w:tcW w:w="0" w:type="auto"/>
          </w:tcPr>
          <w:p w14:paraId="48F4D7BA" w14:textId="77777777" w:rsidR="00202231" w:rsidRDefault="00000000">
            <w:pPr>
              <w:pStyle w:val="Compact"/>
            </w:pPr>
            <w:r>
              <w:t>FR-11</w:t>
            </w:r>
          </w:p>
        </w:tc>
        <w:tc>
          <w:tcPr>
            <w:tcW w:w="0" w:type="auto"/>
          </w:tcPr>
          <w:p w14:paraId="7404D0BC" w14:textId="77777777" w:rsidR="00202231" w:rsidRDefault="00000000">
            <w:pPr>
              <w:pStyle w:val="Compact"/>
            </w:pPr>
            <w:r>
              <w:t>Functional</w:t>
            </w:r>
          </w:p>
        </w:tc>
        <w:tc>
          <w:tcPr>
            <w:tcW w:w="0" w:type="auto"/>
          </w:tcPr>
          <w:p w14:paraId="77C8B826" w14:textId="77777777" w:rsidR="00202231" w:rsidRDefault="00000000">
            <w:pPr>
              <w:pStyle w:val="Compact"/>
            </w:pPr>
            <w:r>
              <w:t xml:space="preserve">Standardized Data Exchange – All agents shall exchange patient data using a common format to ensure consistency. HelixCare will use HL7 FHIR standards for key data objects (e.g., Patient, Encounter, </w:t>
            </w:r>
            <w:r>
              <w:lastRenderedPageBreak/>
              <w:t>Condition, Observation) when sharing or storing information, so that each piece of data is structured and unambiguous</w:t>
            </w:r>
            <w:hyperlink r:id="rId13" w:anchor="all/19c2a5175e7dffda">
              <w:r>
                <w:rPr>
                  <w:rStyle w:val="Hyperlink"/>
                </w:rPr>
                <w:t>[6]</w:t>
              </w:r>
            </w:hyperlink>
            <w:r>
              <w:t>. The system will aggregate these into a FHIR Bundle for a complete patient record, which can be used for external health information exchange if needed.</w:t>
            </w:r>
          </w:p>
        </w:tc>
        <w:tc>
          <w:tcPr>
            <w:tcW w:w="0" w:type="auto"/>
          </w:tcPr>
          <w:p w14:paraId="6A4D93BF" w14:textId="77777777" w:rsidR="00202231" w:rsidRDefault="00000000">
            <w:pPr>
              <w:pStyle w:val="Compact"/>
            </w:pPr>
            <w:r>
              <w:lastRenderedPageBreak/>
              <w:t xml:space="preserve">Using an industry-standard healthcare data model ensures interoperability with external systems (such as EHRs or Health Information </w:t>
            </w:r>
            <w:r>
              <w:lastRenderedPageBreak/>
              <w:t>Exchanges) and makes the data easier to validate and audit.</w:t>
            </w:r>
          </w:p>
        </w:tc>
        <w:tc>
          <w:tcPr>
            <w:tcW w:w="0" w:type="auto"/>
          </w:tcPr>
          <w:p w14:paraId="3D29EFA9" w14:textId="77777777" w:rsidR="00202231" w:rsidRDefault="00000000">
            <w:pPr>
              <w:pStyle w:val="Compact"/>
            </w:pPr>
            <w:r>
              <w:lastRenderedPageBreak/>
              <w:t xml:space="preserve">Throughout a patient’s journey, verify that data created by each agent (triage findings, diagnosis, imaging results, etc.) is represented in the patient record as FHIR resources. For example, a diagnosis </w:t>
            </w:r>
            <w:r>
              <w:lastRenderedPageBreak/>
              <w:t>appears as a FHIR Condition resource, triage categorization as an Observation, and the discharge summary as a Composition. A final FHIR Bundle containing the patient’s entire encounter can be generated and is schema-valid. This is demonstrated in an integration test where the OpenHIE Mediator (or equivalent component) successfully consumes the bundle without error.</w:t>
            </w:r>
          </w:p>
        </w:tc>
        <w:tc>
          <w:tcPr>
            <w:tcW w:w="0" w:type="auto"/>
          </w:tcPr>
          <w:p w14:paraId="0CDC081B" w14:textId="77777777" w:rsidR="00202231" w:rsidRDefault="00000000">
            <w:pPr>
              <w:pStyle w:val="Compact"/>
            </w:pPr>
            <w:r>
              <w:lastRenderedPageBreak/>
              <w:t>High</w:t>
            </w:r>
          </w:p>
        </w:tc>
        <w:tc>
          <w:tcPr>
            <w:tcW w:w="0" w:type="auto"/>
          </w:tcPr>
          <w:p w14:paraId="702FA1E3" w14:textId="77777777" w:rsidR="00202231" w:rsidRDefault="00000000">
            <w:pPr>
              <w:pStyle w:val="Compact"/>
            </w:pPr>
            <w:r>
              <w:t>Interoperability requirement (HL7 FHIR compliance)</w:t>
            </w:r>
            <w:hyperlink r:id="rId14" w:anchor="all/19c2a5175e7dffda">
              <w:r>
                <w:rPr>
                  <w:rStyle w:val="Hyperlink"/>
                </w:rPr>
                <w:t>[6]</w:t>
              </w:r>
            </w:hyperlink>
          </w:p>
        </w:tc>
        <w:tc>
          <w:tcPr>
            <w:tcW w:w="0" w:type="auto"/>
          </w:tcPr>
          <w:p w14:paraId="6E627680" w14:textId="77777777" w:rsidR="00202231" w:rsidRDefault="00000000">
            <w:pPr>
              <w:pStyle w:val="Compact"/>
            </w:pPr>
            <w:r>
              <w:t>Data Interoperability &amp; Exchange</w:t>
            </w:r>
          </w:p>
        </w:tc>
      </w:tr>
      <w:tr w:rsidR="00202231" w14:paraId="6DD97BCE" w14:textId="77777777" w:rsidTr="00C34C82">
        <w:tc>
          <w:tcPr>
            <w:tcW w:w="0" w:type="auto"/>
          </w:tcPr>
          <w:p w14:paraId="2186B93F" w14:textId="77777777" w:rsidR="00202231" w:rsidRDefault="00000000">
            <w:pPr>
              <w:pStyle w:val="Compact"/>
            </w:pPr>
            <w:r>
              <w:t>FR-12</w:t>
            </w:r>
          </w:p>
        </w:tc>
        <w:tc>
          <w:tcPr>
            <w:tcW w:w="0" w:type="auto"/>
          </w:tcPr>
          <w:p w14:paraId="487D6161" w14:textId="77777777" w:rsidR="00202231" w:rsidRDefault="00000000">
            <w:pPr>
              <w:pStyle w:val="Compact"/>
            </w:pPr>
            <w:r>
              <w:t>Functional</w:t>
            </w:r>
          </w:p>
        </w:tc>
        <w:tc>
          <w:tcPr>
            <w:tcW w:w="0" w:type="auto"/>
          </w:tcPr>
          <w:p w14:paraId="0D0DA89F" w14:textId="77777777" w:rsidR="00202231" w:rsidRDefault="00000000">
            <w:pPr>
              <w:pStyle w:val="Compact"/>
            </w:pPr>
            <w:r>
              <w:t>Asynchronous Event Streaming – Each agent shall provide a secure endpoint (such as a Server-Sent Events stream or WebSocket) to which other agents (or a UI) can subscribe to receive real-time updates on task progress and results</w:t>
            </w:r>
            <w:hyperlink r:id="rId15" w:anchor="all/19c2a5175e7dffda">
              <w:r>
                <w:rPr>
                  <w:rStyle w:val="Hyperlink"/>
                </w:rPr>
                <w:t>[7]</w:t>
              </w:r>
            </w:hyperlink>
            <w:r>
              <w:t>. Long-running processes (e.g., image analysis or external data fetch) will send interim status events (e.g., "in_progress", "completed") and a final result event through this channel, enabling non-blocking workflows.</w:t>
            </w:r>
          </w:p>
        </w:tc>
        <w:tc>
          <w:tcPr>
            <w:tcW w:w="0" w:type="auto"/>
          </w:tcPr>
          <w:p w14:paraId="600AA231" w14:textId="77777777" w:rsidR="00202231" w:rsidRDefault="00000000">
            <w:pPr>
              <w:pStyle w:val="Compact"/>
            </w:pPr>
            <w:r>
              <w:t>Ensures that the system can handle lengthy operations without stalling the entire workflow, and provides transparency and responsiveness through progress updates.</w:t>
            </w:r>
          </w:p>
        </w:tc>
        <w:tc>
          <w:tcPr>
            <w:tcW w:w="0" w:type="auto"/>
          </w:tcPr>
          <w:p w14:paraId="12FD281E" w14:textId="77777777" w:rsidR="00202231" w:rsidRDefault="00000000">
            <w:pPr>
              <w:pStyle w:val="Compact"/>
            </w:pPr>
            <w:r>
              <w:t>For an imaging analysis that takes 2 minutes, the Imaging Agent emits periodic status events (e.g., 50% done) and a final event with outcome. The Diagnostics Agent (or coordinator) subscribed to the Imaging Agent’s stream receives these events and can act (or simply log) accordingly. Tests verify that subscribing to each agent’s event stream yields heartbeat signals and task status messages as defined, and that no data is lost if multiple subscribers listen in.</w:t>
            </w:r>
          </w:p>
        </w:tc>
        <w:tc>
          <w:tcPr>
            <w:tcW w:w="0" w:type="auto"/>
          </w:tcPr>
          <w:p w14:paraId="14F8B31C" w14:textId="77777777" w:rsidR="00202231" w:rsidRDefault="00000000">
            <w:pPr>
              <w:pStyle w:val="Compact"/>
            </w:pPr>
            <w:r>
              <w:t>Medium</w:t>
            </w:r>
          </w:p>
        </w:tc>
        <w:tc>
          <w:tcPr>
            <w:tcW w:w="0" w:type="auto"/>
          </w:tcPr>
          <w:p w14:paraId="23FBF318" w14:textId="77777777" w:rsidR="00202231" w:rsidRDefault="00000000">
            <w:pPr>
              <w:pStyle w:val="Compact"/>
            </w:pPr>
            <w:r>
              <w:t>NEXUS-A2A streaming design</w:t>
            </w:r>
            <w:hyperlink r:id="rId16" w:anchor="all/19c2a5175e7dffda">
              <w:r>
                <w:rPr>
                  <w:rStyle w:val="Hyperlink"/>
                </w:rPr>
                <w:t>[7]</w:t>
              </w:r>
            </w:hyperlink>
          </w:p>
        </w:tc>
        <w:tc>
          <w:tcPr>
            <w:tcW w:w="0" w:type="auto"/>
          </w:tcPr>
          <w:p w14:paraId="13A9A2DC" w14:textId="77777777" w:rsidR="00202231" w:rsidRDefault="00000000">
            <w:pPr>
              <w:pStyle w:val="Compact"/>
            </w:pPr>
            <w:r>
              <w:t>Asynchronous Workflow Support</w:t>
            </w:r>
          </w:p>
        </w:tc>
      </w:tr>
    </w:tbl>
    <w:p w14:paraId="4B6F7C48" w14:textId="77777777" w:rsidR="00202231" w:rsidRDefault="00000000">
      <w:pPr>
        <w:pStyle w:val="Heading2"/>
      </w:pPr>
      <w:bookmarkStart w:id="4" w:name="non-functional-requirements"/>
      <w:bookmarkEnd w:id="3"/>
      <w:r>
        <w:t>Non-Functional Requirements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3"/>
        <w:gridCol w:w="1364"/>
        <w:gridCol w:w="4421"/>
        <w:gridCol w:w="3609"/>
        <w:gridCol w:w="4627"/>
        <w:gridCol w:w="1063"/>
        <w:gridCol w:w="2168"/>
        <w:gridCol w:w="2312"/>
      </w:tblGrid>
      <w:tr w:rsidR="00202231" w14:paraId="1038D604" w14:textId="77777777" w:rsidTr="00C34C8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EFFA61C" w14:textId="77777777" w:rsidR="00202231" w:rsidRDefault="00000000">
            <w:pPr>
              <w:pStyle w:val="Compact"/>
            </w:pPr>
            <w:r>
              <w:t>Requirement ID</w:t>
            </w:r>
          </w:p>
        </w:tc>
        <w:tc>
          <w:tcPr>
            <w:tcW w:w="0" w:type="auto"/>
            <w:tcBorders>
              <w:bottom w:val="none" w:sz="0" w:space="0" w:color="auto"/>
            </w:tcBorders>
          </w:tcPr>
          <w:p w14:paraId="00942C62" w14:textId="77777777" w:rsidR="00202231" w:rsidRDefault="00000000">
            <w:pPr>
              <w:pStyle w:val="Compact"/>
            </w:pPr>
            <w:r>
              <w:t>Type</w:t>
            </w:r>
          </w:p>
        </w:tc>
        <w:tc>
          <w:tcPr>
            <w:tcW w:w="0" w:type="auto"/>
            <w:tcBorders>
              <w:bottom w:val="none" w:sz="0" w:space="0" w:color="auto"/>
            </w:tcBorders>
          </w:tcPr>
          <w:p w14:paraId="4F776585" w14:textId="77777777" w:rsidR="00202231" w:rsidRDefault="00000000">
            <w:pPr>
              <w:pStyle w:val="Compact"/>
            </w:pPr>
            <w:r>
              <w:t>Description</w:t>
            </w:r>
          </w:p>
        </w:tc>
        <w:tc>
          <w:tcPr>
            <w:tcW w:w="0" w:type="auto"/>
            <w:tcBorders>
              <w:bottom w:val="none" w:sz="0" w:space="0" w:color="auto"/>
            </w:tcBorders>
          </w:tcPr>
          <w:p w14:paraId="327E88D1" w14:textId="77777777" w:rsidR="00202231" w:rsidRDefault="00000000">
            <w:pPr>
              <w:pStyle w:val="Compact"/>
            </w:pPr>
            <w:r>
              <w:t>Rationale</w:t>
            </w:r>
          </w:p>
        </w:tc>
        <w:tc>
          <w:tcPr>
            <w:tcW w:w="0" w:type="auto"/>
            <w:tcBorders>
              <w:bottom w:val="none" w:sz="0" w:space="0" w:color="auto"/>
            </w:tcBorders>
          </w:tcPr>
          <w:p w14:paraId="3B5395A3" w14:textId="77777777" w:rsidR="00202231" w:rsidRDefault="00000000">
            <w:pPr>
              <w:pStyle w:val="Compact"/>
            </w:pPr>
            <w:r>
              <w:t>Acceptance Criteria</w:t>
            </w:r>
          </w:p>
        </w:tc>
        <w:tc>
          <w:tcPr>
            <w:tcW w:w="0" w:type="auto"/>
            <w:tcBorders>
              <w:bottom w:val="none" w:sz="0" w:space="0" w:color="auto"/>
            </w:tcBorders>
          </w:tcPr>
          <w:p w14:paraId="10A074A5" w14:textId="77777777" w:rsidR="00202231" w:rsidRDefault="00000000">
            <w:pPr>
              <w:pStyle w:val="Compact"/>
            </w:pPr>
            <w:r>
              <w:t>Priority</w:t>
            </w:r>
          </w:p>
        </w:tc>
        <w:tc>
          <w:tcPr>
            <w:tcW w:w="0" w:type="auto"/>
            <w:tcBorders>
              <w:bottom w:val="none" w:sz="0" w:space="0" w:color="auto"/>
            </w:tcBorders>
          </w:tcPr>
          <w:p w14:paraId="76A79D07" w14:textId="77777777" w:rsidR="00202231" w:rsidRDefault="00000000">
            <w:pPr>
              <w:pStyle w:val="Compact"/>
            </w:pPr>
            <w:r>
              <w:t>Source</w:t>
            </w:r>
          </w:p>
        </w:tc>
        <w:tc>
          <w:tcPr>
            <w:tcW w:w="0" w:type="auto"/>
            <w:tcBorders>
              <w:bottom w:val="none" w:sz="0" w:space="0" w:color="auto"/>
            </w:tcBorders>
          </w:tcPr>
          <w:p w14:paraId="17401380" w14:textId="77777777" w:rsidR="00202231" w:rsidRDefault="00000000">
            <w:pPr>
              <w:pStyle w:val="Compact"/>
            </w:pPr>
            <w:r>
              <w:t>Traceability Note</w:t>
            </w:r>
          </w:p>
        </w:tc>
      </w:tr>
      <w:tr w:rsidR="00202231" w14:paraId="33E4A1A0" w14:textId="77777777" w:rsidTr="00C34C82">
        <w:tc>
          <w:tcPr>
            <w:tcW w:w="0" w:type="auto"/>
          </w:tcPr>
          <w:p w14:paraId="6F7719FD" w14:textId="77777777" w:rsidR="00202231" w:rsidRDefault="00000000">
            <w:pPr>
              <w:pStyle w:val="Compact"/>
            </w:pPr>
            <w:r>
              <w:t>NFR-1</w:t>
            </w:r>
          </w:p>
        </w:tc>
        <w:tc>
          <w:tcPr>
            <w:tcW w:w="0" w:type="auto"/>
          </w:tcPr>
          <w:p w14:paraId="472CE423" w14:textId="77777777" w:rsidR="00202231" w:rsidRDefault="00000000">
            <w:pPr>
              <w:pStyle w:val="Compact"/>
            </w:pPr>
            <w:r>
              <w:t>Non-Functional</w:t>
            </w:r>
          </w:p>
        </w:tc>
        <w:tc>
          <w:tcPr>
            <w:tcW w:w="0" w:type="auto"/>
          </w:tcPr>
          <w:p w14:paraId="2038FBD7" w14:textId="77777777" w:rsidR="00202231" w:rsidRDefault="00000000">
            <w:pPr>
              <w:pStyle w:val="Compact"/>
            </w:pPr>
            <w:r>
              <w:t xml:space="preserve">Security – Mutual TLS Encryption: All agent-to-agent HTTP communications shall be protected with TLS encryption, and </w:t>
            </w:r>
            <w:r>
              <w:rPr>
                <w:b/>
                <w:bCs/>
              </w:rPr>
              <w:t>mutual TLS (mTLS)</w:t>
            </w:r>
            <w:r>
              <w:t xml:space="preserve"> authentication shall be enforced. Each agent will present an X.509 client certificate issued by a trusted HelixCare CA, which the receiving agent will verify against its trust store</w:t>
            </w:r>
            <w:hyperlink r:id="rId17" w:anchor=":~:text=,suitable%20for%20highly%20secure%20environments">
              <w:r>
                <w:rPr>
                  <w:rStyle w:val="Hyperlink"/>
                </w:rPr>
                <w:t>[8]</w:t>
              </w:r>
            </w:hyperlink>
            <w:r>
              <w:t>. This ensures both parties are authenticated at the transport layer and data in transit is encrypted.</w:t>
            </w:r>
          </w:p>
        </w:tc>
        <w:tc>
          <w:tcPr>
            <w:tcW w:w="0" w:type="auto"/>
          </w:tcPr>
          <w:p w14:paraId="45223AE0" w14:textId="77777777" w:rsidR="00202231" w:rsidRDefault="00000000">
            <w:pPr>
              <w:pStyle w:val="Compact"/>
            </w:pPr>
            <w:r>
              <w:t>To prevent eavesdropping or man-in-the-middle attacks and to verify that only legitimate HelixCare agents communicate with each other, protecting sensitive patient data.</w:t>
            </w:r>
          </w:p>
        </w:tc>
        <w:tc>
          <w:tcPr>
            <w:tcW w:w="0" w:type="auto"/>
          </w:tcPr>
          <w:p w14:paraId="4D398010" w14:textId="77777777" w:rsidR="00202231" w:rsidRDefault="00000000">
            <w:pPr>
              <w:pStyle w:val="Compact"/>
            </w:pPr>
            <w:r>
              <w:t>Attempting to connect an agent to another without a valid trusted certificate is rejected. In a security test, all network traffic between agents is observed to be encrypted. Agents only accept connections when the client presents a valid certificate. Certificate expiry or revocation testing confirms that invalid certificates are not accepted.</w:t>
            </w:r>
          </w:p>
        </w:tc>
        <w:tc>
          <w:tcPr>
            <w:tcW w:w="0" w:type="auto"/>
          </w:tcPr>
          <w:p w14:paraId="31F2B3BD" w14:textId="77777777" w:rsidR="00202231" w:rsidRDefault="00000000">
            <w:pPr>
              <w:pStyle w:val="Compact"/>
            </w:pPr>
            <w:r>
              <w:t>High</w:t>
            </w:r>
          </w:p>
        </w:tc>
        <w:tc>
          <w:tcPr>
            <w:tcW w:w="0" w:type="auto"/>
          </w:tcPr>
          <w:p w14:paraId="46E62FE7" w14:textId="77777777" w:rsidR="00202231" w:rsidRDefault="00000000">
            <w:pPr>
              <w:pStyle w:val="Compact"/>
            </w:pPr>
            <w:r>
              <w:t>Security policy (Zero Trust networking)</w:t>
            </w:r>
            <w:hyperlink r:id="rId18" w:anchor=":~:text=,suitable%20for%20highly%20secure%20environments">
              <w:r>
                <w:rPr>
                  <w:rStyle w:val="Hyperlink"/>
                </w:rPr>
                <w:t>[8]</w:t>
              </w:r>
            </w:hyperlink>
          </w:p>
        </w:tc>
        <w:tc>
          <w:tcPr>
            <w:tcW w:w="0" w:type="auto"/>
          </w:tcPr>
          <w:p w14:paraId="07C88D62" w14:textId="77777777" w:rsidR="00202231" w:rsidRDefault="00000000">
            <w:pPr>
              <w:pStyle w:val="Compact"/>
            </w:pPr>
            <w:r>
              <w:t>Confidentiality &amp; Authenticity of A2A Communications</w:t>
            </w:r>
          </w:p>
        </w:tc>
      </w:tr>
      <w:tr w:rsidR="00202231" w14:paraId="5D705CFD" w14:textId="77777777" w:rsidTr="00C34C82">
        <w:tc>
          <w:tcPr>
            <w:tcW w:w="0" w:type="auto"/>
          </w:tcPr>
          <w:p w14:paraId="6519335E" w14:textId="77777777" w:rsidR="00202231" w:rsidRDefault="00000000">
            <w:pPr>
              <w:pStyle w:val="Compact"/>
            </w:pPr>
            <w:r>
              <w:t>NFR-2</w:t>
            </w:r>
          </w:p>
        </w:tc>
        <w:tc>
          <w:tcPr>
            <w:tcW w:w="0" w:type="auto"/>
          </w:tcPr>
          <w:p w14:paraId="12D4787D" w14:textId="77777777" w:rsidR="00202231" w:rsidRDefault="00000000">
            <w:pPr>
              <w:pStyle w:val="Compact"/>
            </w:pPr>
            <w:r>
              <w:t>Non-Functional</w:t>
            </w:r>
          </w:p>
        </w:tc>
        <w:tc>
          <w:tcPr>
            <w:tcW w:w="0" w:type="auto"/>
          </w:tcPr>
          <w:p w14:paraId="7C1F16FE" w14:textId="77777777" w:rsidR="00202231" w:rsidRDefault="00000000">
            <w:pPr>
              <w:pStyle w:val="Compact"/>
            </w:pPr>
            <w:r>
              <w:t>Security – OIDC JWT Authentication: In addition to mTLS, every request between agents shall include a valid JWT issued by the HelixCare Identity Provider using OpenID Connect</w:t>
            </w:r>
            <w:hyperlink r:id="rId19" w:anchor=":~:text=,token%20validation%20and%20token%20introspection">
              <w:r>
                <w:rPr>
                  <w:rStyle w:val="Hyperlink"/>
                </w:rPr>
                <w:t>[9]</w:t>
              </w:r>
            </w:hyperlink>
            <w:r>
              <w:t xml:space="preserve">. The token will assert the agent’s identity and role. </w:t>
            </w:r>
            <w:r>
              <w:lastRenderedPageBreak/>
              <w:t>Receiving agents must validate the JWT (signature, issuer, expiration) and confirm the calling agent is authorized for the requested operation. Only if the token is valid and appropriate will the request be processed.</w:t>
            </w:r>
          </w:p>
        </w:tc>
        <w:tc>
          <w:tcPr>
            <w:tcW w:w="0" w:type="auto"/>
          </w:tcPr>
          <w:p w14:paraId="4FC20855" w14:textId="77777777" w:rsidR="00202231" w:rsidRDefault="00000000">
            <w:pPr>
              <w:pStyle w:val="Compact"/>
            </w:pPr>
            <w:r>
              <w:lastRenderedPageBreak/>
              <w:t xml:space="preserve">Provides application-layer authentication and fine-grained authorization on top of transport security. Even if network-level security is intact, JWT ensures each request is from a known </w:t>
            </w:r>
            <w:r>
              <w:lastRenderedPageBreak/>
              <w:t>agent with appropriate privileges, implementing defense in depth.</w:t>
            </w:r>
          </w:p>
        </w:tc>
        <w:tc>
          <w:tcPr>
            <w:tcW w:w="0" w:type="auto"/>
          </w:tcPr>
          <w:p w14:paraId="61C67AAC" w14:textId="77777777" w:rsidR="00202231" w:rsidRDefault="00000000">
            <w:pPr>
              <w:pStyle w:val="Compact"/>
            </w:pPr>
            <w:r>
              <w:lastRenderedPageBreak/>
              <w:t xml:space="preserve">Using a valid token (e.g., a JWT signed by HelixCare IDP identifying the caller as "DiagnosticsAgent"), an agent’s API call succeeds. If the token is missing, expired, or has wrong claims, the target agent returns an "Unauthorized" error. Tests: a </w:t>
            </w:r>
            <w:r>
              <w:lastRenderedPageBreak/>
              <w:t>Diagnostics Agent calling an Imaging Agent with a correct token works, but using an expired or tampered token fails as expected. The system logs token validation failures for audit.</w:t>
            </w:r>
          </w:p>
        </w:tc>
        <w:tc>
          <w:tcPr>
            <w:tcW w:w="0" w:type="auto"/>
          </w:tcPr>
          <w:p w14:paraId="165CF181" w14:textId="77777777" w:rsidR="00202231" w:rsidRDefault="00000000">
            <w:pPr>
              <w:pStyle w:val="Compact"/>
            </w:pPr>
            <w:r>
              <w:lastRenderedPageBreak/>
              <w:t>High</w:t>
            </w:r>
          </w:p>
        </w:tc>
        <w:tc>
          <w:tcPr>
            <w:tcW w:w="0" w:type="auto"/>
          </w:tcPr>
          <w:p w14:paraId="06A98D40" w14:textId="77777777" w:rsidR="00202231" w:rsidRDefault="00000000">
            <w:pPr>
              <w:pStyle w:val="Compact"/>
            </w:pPr>
            <w:r>
              <w:t>Identity &amp; Access Management standard (OIDC)</w:t>
            </w:r>
            <w:hyperlink r:id="rId20" w:anchor=":~:text=,token%20validation%20and%20token%20introspection">
              <w:r>
                <w:rPr>
                  <w:rStyle w:val="Hyperlink"/>
                </w:rPr>
                <w:t>[9]</w:t>
              </w:r>
            </w:hyperlink>
          </w:p>
        </w:tc>
        <w:tc>
          <w:tcPr>
            <w:tcW w:w="0" w:type="auto"/>
          </w:tcPr>
          <w:p w14:paraId="319C8A3F" w14:textId="77777777" w:rsidR="00202231" w:rsidRDefault="00000000">
            <w:pPr>
              <w:pStyle w:val="Compact"/>
            </w:pPr>
            <w:r>
              <w:t>Agent Authentication &amp; Authorization</w:t>
            </w:r>
          </w:p>
        </w:tc>
      </w:tr>
      <w:tr w:rsidR="00202231" w14:paraId="568EA579" w14:textId="77777777" w:rsidTr="00C34C82">
        <w:tc>
          <w:tcPr>
            <w:tcW w:w="0" w:type="auto"/>
          </w:tcPr>
          <w:p w14:paraId="3AAC4867" w14:textId="77777777" w:rsidR="00202231" w:rsidRDefault="00000000">
            <w:pPr>
              <w:pStyle w:val="Compact"/>
            </w:pPr>
            <w:r>
              <w:t>NFR-3</w:t>
            </w:r>
          </w:p>
        </w:tc>
        <w:tc>
          <w:tcPr>
            <w:tcW w:w="0" w:type="auto"/>
          </w:tcPr>
          <w:p w14:paraId="7E625FDF" w14:textId="77777777" w:rsidR="00202231" w:rsidRDefault="00000000">
            <w:pPr>
              <w:pStyle w:val="Compact"/>
            </w:pPr>
            <w:r>
              <w:t>Non-Functional</w:t>
            </w:r>
          </w:p>
        </w:tc>
        <w:tc>
          <w:tcPr>
            <w:tcW w:w="0" w:type="auto"/>
          </w:tcPr>
          <w:p w14:paraId="1F04E0A8" w14:textId="77777777" w:rsidR="00202231" w:rsidRDefault="00000000">
            <w:pPr>
              <w:pStyle w:val="Compact"/>
            </w:pPr>
            <w:r>
              <w:t>Security – Authorization and Least Privilege: Each agent’s access to data and actions shall be restricted to its role. Authorization rules (enforced via token claims or internal ACLs) will prevent an agent from invoking unauthorized methods or accessing data beyond its scope</w:t>
            </w:r>
            <w:hyperlink r:id="rId21" w:anchor=":~:text=,or%20services%20can%20access%20resources">
              <w:r>
                <w:rPr>
                  <w:rStyle w:val="Hyperlink"/>
                </w:rPr>
                <w:t>[10]</w:t>
              </w:r>
            </w:hyperlink>
            <w:r>
              <w:t>. For instance, an Imaging Agent cannot call pharmacy operations, and a Triage Agent cannot modify admission details. This principle of least privilege limits the impact of any single agent’s compromise.</w:t>
            </w:r>
          </w:p>
        </w:tc>
        <w:tc>
          <w:tcPr>
            <w:tcW w:w="0" w:type="auto"/>
          </w:tcPr>
          <w:p w14:paraId="192B3D36" w14:textId="77777777" w:rsidR="00202231" w:rsidRDefault="00000000">
            <w:pPr>
              <w:pStyle w:val="Compact"/>
            </w:pPr>
            <w:r>
              <w:t>Containing security breaches and ensuring that even if one agent is compromised or malfunctions, it cannot misuse other parts of the system. It also aligns with the Zero Trust approach of always verifying and limiting access.</w:t>
            </w:r>
          </w:p>
        </w:tc>
        <w:tc>
          <w:tcPr>
            <w:tcW w:w="0" w:type="auto"/>
          </w:tcPr>
          <w:p w14:paraId="2AD81297" w14:textId="77777777" w:rsidR="00202231" w:rsidRDefault="00000000">
            <w:pPr>
              <w:pStyle w:val="Compact"/>
            </w:pPr>
            <w:r>
              <w:t>Security tests attempt cross-agent misuse: e.g., using an Imaging Agent’s credentials to call a Pharmacy Agent’s restricted function. These attempts are denied and logged. Each agent is observed to only perform its designated functions during normal operation. A review of access control configurations shows that roles/permissions are correctly assigned per agent type.</w:t>
            </w:r>
          </w:p>
        </w:tc>
        <w:tc>
          <w:tcPr>
            <w:tcW w:w="0" w:type="auto"/>
          </w:tcPr>
          <w:p w14:paraId="3E4DF9C1" w14:textId="77777777" w:rsidR="00202231" w:rsidRDefault="00000000">
            <w:pPr>
              <w:pStyle w:val="Compact"/>
            </w:pPr>
            <w:r>
              <w:t>High</w:t>
            </w:r>
          </w:p>
        </w:tc>
        <w:tc>
          <w:tcPr>
            <w:tcW w:w="0" w:type="auto"/>
          </w:tcPr>
          <w:p w14:paraId="50734538" w14:textId="77777777" w:rsidR="00202231" w:rsidRDefault="00000000">
            <w:pPr>
              <w:pStyle w:val="Compact"/>
            </w:pPr>
            <w:r>
              <w:t>Access control best practices</w:t>
            </w:r>
            <w:hyperlink r:id="rId22" w:anchor=":~:text=,or%20services%20can%20access%20resources">
              <w:r>
                <w:rPr>
                  <w:rStyle w:val="Hyperlink"/>
                </w:rPr>
                <w:t>[10]</w:t>
              </w:r>
            </w:hyperlink>
          </w:p>
        </w:tc>
        <w:tc>
          <w:tcPr>
            <w:tcW w:w="0" w:type="auto"/>
          </w:tcPr>
          <w:p w14:paraId="71334298" w14:textId="77777777" w:rsidR="00202231" w:rsidRDefault="00000000">
            <w:pPr>
              <w:pStyle w:val="Compact"/>
            </w:pPr>
            <w:r>
              <w:t>Role-Based Access Control</w:t>
            </w:r>
          </w:p>
        </w:tc>
      </w:tr>
      <w:tr w:rsidR="00202231" w14:paraId="5B2E0795" w14:textId="77777777" w:rsidTr="00C34C82">
        <w:tc>
          <w:tcPr>
            <w:tcW w:w="0" w:type="auto"/>
          </w:tcPr>
          <w:p w14:paraId="396EEE4C" w14:textId="77777777" w:rsidR="00202231" w:rsidRDefault="00000000">
            <w:pPr>
              <w:pStyle w:val="Compact"/>
            </w:pPr>
            <w:r>
              <w:t>NFR-4</w:t>
            </w:r>
          </w:p>
        </w:tc>
        <w:tc>
          <w:tcPr>
            <w:tcW w:w="0" w:type="auto"/>
          </w:tcPr>
          <w:p w14:paraId="6FB89D31" w14:textId="77777777" w:rsidR="00202231" w:rsidRDefault="00000000">
            <w:pPr>
              <w:pStyle w:val="Compact"/>
            </w:pPr>
            <w:r>
              <w:t>Non-Functional</w:t>
            </w:r>
          </w:p>
        </w:tc>
        <w:tc>
          <w:tcPr>
            <w:tcW w:w="0" w:type="auto"/>
          </w:tcPr>
          <w:p w14:paraId="18735ADD" w14:textId="77777777" w:rsidR="00202231" w:rsidRDefault="00000000">
            <w:pPr>
              <w:pStyle w:val="Compact"/>
            </w:pPr>
            <w:r>
              <w:t>Privacy &amp; Compliance: The system shall comply with healthcare data protection regulations (e.g., HIPAA in the US, GDPR in EU). All patient-identifiable data at rest (databases, logs) must be encrypted, and only accessible by authorized processes. An audit log of all access to patient records shall be maintained. The system shall implement data minimization (agents only receive the data necessary for their function) and patients’ consent preferences (from a consent management module) must be checked before sharing data with external systems.</w:t>
            </w:r>
          </w:p>
        </w:tc>
        <w:tc>
          <w:tcPr>
            <w:tcW w:w="0" w:type="auto"/>
          </w:tcPr>
          <w:p w14:paraId="1C717FB8" w14:textId="77777777" w:rsidR="00202231" w:rsidRDefault="00000000">
            <w:pPr>
              <w:pStyle w:val="Compact"/>
            </w:pPr>
            <w:r>
              <w:t>Maintains patient trust and meets legal obligations by safeguarding sensitive health information and respecting patient consent for data use.</w:t>
            </w:r>
          </w:p>
        </w:tc>
        <w:tc>
          <w:tcPr>
            <w:tcW w:w="0" w:type="auto"/>
          </w:tcPr>
          <w:p w14:paraId="493D687F" w14:textId="77777777" w:rsidR="00202231" w:rsidRDefault="00000000">
            <w:pPr>
              <w:pStyle w:val="Compact"/>
            </w:pPr>
            <w:r>
              <w:t>A compliance audit is performed: it finds all patient data in the database encrypted with approved algorithms, and that access logs document which agent accessed which record and when. In tests, if a patient has opted out of data sharing, the system refrains from sending their data to an outside system (the HIE) and logs the decision. The system should pass a HIPAA compliance checklist or similar assessment.</w:t>
            </w:r>
          </w:p>
        </w:tc>
        <w:tc>
          <w:tcPr>
            <w:tcW w:w="0" w:type="auto"/>
          </w:tcPr>
          <w:p w14:paraId="53DEA1E2" w14:textId="77777777" w:rsidR="00202231" w:rsidRDefault="00000000">
            <w:pPr>
              <w:pStyle w:val="Compact"/>
            </w:pPr>
            <w:r>
              <w:t>High</w:t>
            </w:r>
          </w:p>
        </w:tc>
        <w:tc>
          <w:tcPr>
            <w:tcW w:w="0" w:type="auto"/>
          </w:tcPr>
          <w:p w14:paraId="1EF53B76" w14:textId="77777777" w:rsidR="00202231" w:rsidRDefault="00000000">
            <w:pPr>
              <w:pStyle w:val="Compact"/>
            </w:pPr>
            <w:r>
              <w:t>Regulatory requirements (HIPAA, GDPR)</w:t>
            </w:r>
          </w:p>
        </w:tc>
        <w:tc>
          <w:tcPr>
            <w:tcW w:w="0" w:type="auto"/>
          </w:tcPr>
          <w:p w14:paraId="40F6E7F9" w14:textId="77777777" w:rsidR="00202231" w:rsidRDefault="00000000">
            <w:pPr>
              <w:pStyle w:val="Compact"/>
            </w:pPr>
            <w:r>
              <w:t>Legal Compliance &amp; Data Privacy</w:t>
            </w:r>
          </w:p>
        </w:tc>
      </w:tr>
      <w:tr w:rsidR="00202231" w14:paraId="05CEF2B2" w14:textId="77777777" w:rsidTr="00C34C82">
        <w:tc>
          <w:tcPr>
            <w:tcW w:w="0" w:type="auto"/>
          </w:tcPr>
          <w:p w14:paraId="0FE5CDF3" w14:textId="77777777" w:rsidR="00202231" w:rsidRDefault="00000000">
            <w:pPr>
              <w:pStyle w:val="Compact"/>
            </w:pPr>
            <w:r>
              <w:t>NFR-5</w:t>
            </w:r>
          </w:p>
        </w:tc>
        <w:tc>
          <w:tcPr>
            <w:tcW w:w="0" w:type="auto"/>
          </w:tcPr>
          <w:p w14:paraId="7E1AAF8D" w14:textId="77777777" w:rsidR="00202231" w:rsidRDefault="00000000">
            <w:pPr>
              <w:pStyle w:val="Compact"/>
            </w:pPr>
            <w:r>
              <w:t>Non-Functional</w:t>
            </w:r>
          </w:p>
        </w:tc>
        <w:tc>
          <w:tcPr>
            <w:tcW w:w="0" w:type="auto"/>
          </w:tcPr>
          <w:p w14:paraId="60CDB0FA" w14:textId="77777777" w:rsidR="00202231" w:rsidRDefault="00000000">
            <w:pPr>
              <w:pStyle w:val="Compact"/>
            </w:pPr>
            <w:r>
              <w:t xml:space="preserve">Performance – Real-Time Response: The system shall operate in near real-time for critical tasks. For example, the Triage Agent should provide an initial triage result within 30 seconds of patient arrival, and the Diagnostics Agent should deliver preliminary diagnoses within 2 minutes of triage completion (even if imaging is pending). Overall, the end-to-end processing from arrival to a </w:t>
            </w:r>
            <w:r>
              <w:lastRenderedPageBreak/>
              <w:t>disposition decision (admit or discharge) should typically occur within, say, 15 minutes, barring external delays (like waiting for lab results).</w:t>
            </w:r>
          </w:p>
        </w:tc>
        <w:tc>
          <w:tcPr>
            <w:tcW w:w="0" w:type="auto"/>
          </w:tcPr>
          <w:p w14:paraId="4E0B514B" w14:textId="77777777" w:rsidR="00202231" w:rsidRDefault="00000000">
            <w:pPr>
              <w:pStyle w:val="Compact"/>
            </w:pPr>
            <w:r>
              <w:lastRenderedPageBreak/>
              <w:t>Ensures timely care. In emergencies, delays in triage or diagnosis can harm patients. The AI system must work within clinically acceptable time frames so as to improve, not hinder, patient flow.</w:t>
            </w:r>
          </w:p>
        </w:tc>
        <w:tc>
          <w:tcPr>
            <w:tcW w:w="0" w:type="auto"/>
          </w:tcPr>
          <w:p w14:paraId="233A885C" w14:textId="77777777" w:rsidR="00202231" w:rsidRDefault="00000000">
            <w:pPr>
              <w:pStyle w:val="Compact"/>
            </w:pPr>
            <w:r>
              <w:t xml:space="preserve">Under a test load, 95% of triage decisions are returned in under 30 seconds, and a full patient workflow (including one imaging analysis) completes in under the set threshold (15 minutes). Performance monitoring is in place to measure response times of each agent. If thresholds are exceeded, the system flags a performance alert. These criteria are validated during system testing with </w:t>
            </w:r>
            <w:r>
              <w:lastRenderedPageBreak/>
              <w:t>simulated patient scenarios.</w:t>
            </w:r>
          </w:p>
        </w:tc>
        <w:tc>
          <w:tcPr>
            <w:tcW w:w="0" w:type="auto"/>
          </w:tcPr>
          <w:p w14:paraId="178DEA4C" w14:textId="77777777" w:rsidR="00202231" w:rsidRDefault="00000000">
            <w:pPr>
              <w:pStyle w:val="Compact"/>
            </w:pPr>
            <w:r>
              <w:lastRenderedPageBreak/>
              <w:t>High</w:t>
            </w:r>
          </w:p>
        </w:tc>
        <w:tc>
          <w:tcPr>
            <w:tcW w:w="0" w:type="auto"/>
          </w:tcPr>
          <w:p w14:paraId="3A6213EA" w14:textId="77777777" w:rsidR="00202231" w:rsidRDefault="00000000">
            <w:pPr>
              <w:pStyle w:val="Compact"/>
            </w:pPr>
            <w:r>
              <w:t>Service level requirement (ER throughput targets)</w:t>
            </w:r>
          </w:p>
        </w:tc>
        <w:tc>
          <w:tcPr>
            <w:tcW w:w="0" w:type="auto"/>
          </w:tcPr>
          <w:p w14:paraId="5FA2DB96" w14:textId="77777777" w:rsidR="00202231" w:rsidRDefault="00000000">
            <w:pPr>
              <w:pStyle w:val="Compact"/>
            </w:pPr>
            <w:r>
              <w:t>Timing SLA</w:t>
            </w:r>
          </w:p>
        </w:tc>
      </w:tr>
      <w:tr w:rsidR="00202231" w14:paraId="3CFD5B27" w14:textId="77777777" w:rsidTr="00C34C82">
        <w:tc>
          <w:tcPr>
            <w:tcW w:w="0" w:type="auto"/>
          </w:tcPr>
          <w:p w14:paraId="6F414B09" w14:textId="77777777" w:rsidR="00202231" w:rsidRDefault="00000000">
            <w:pPr>
              <w:pStyle w:val="Compact"/>
            </w:pPr>
            <w:r>
              <w:t>NFR-6</w:t>
            </w:r>
          </w:p>
        </w:tc>
        <w:tc>
          <w:tcPr>
            <w:tcW w:w="0" w:type="auto"/>
          </w:tcPr>
          <w:p w14:paraId="36E89733" w14:textId="77777777" w:rsidR="00202231" w:rsidRDefault="00000000">
            <w:pPr>
              <w:pStyle w:val="Compact"/>
            </w:pPr>
            <w:r>
              <w:t>Non-Functional</w:t>
            </w:r>
          </w:p>
        </w:tc>
        <w:tc>
          <w:tcPr>
            <w:tcW w:w="0" w:type="auto"/>
          </w:tcPr>
          <w:p w14:paraId="13FD4DFB" w14:textId="77777777" w:rsidR="00202231" w:rsidRDefault="00000000">
            <w:pPr>
              <w:pStyle w:val="Compact"/>
            </w:pPr>
            <w:r>
              <w:t>Scalability – Concurrent Patient Handling: HelixCare AI Hospital shall support multiple simultaneous patient workflows. The architecture should handle at least 20 patients in parallel (scalable to more with additional resources) without performance degradation beyond acceptable limits. Agents can be replicated (multiple instances) to distribute load, and a load-balancing or service discovery mechanism directs requests appropriately.</w:t>
            </w:r>
          </w:p>
        </w:tc>
        <w:tc>
          <w:tcPr>
            <w:tcW w:w="0" w:type="auto"/>
          </w:tcPr>
          <w:p w14:paraId="77A5507A" w14:textId="77777777" w:rsidR="00202231" w:rsidRDefault="00000000">
            <w:pPr>
              <w:pStyle w:val="Compact"/>
            </w:pPr>
            <w:r>
              <w:t>A hospital environment deals with many patients at once; the system must scale so that care for one patient is not delayed by the load of others, ensuring consistent performance during peak times.</w:t>
            </w:r>
          </w:p>
        </w:tc>
        <w:tc>
          <w:tcPr>
            <w:tcW w:w="0" w:type="auto"/>
          </w:tcPr>
          <w:p w14:paraId="1C0D3E4D" w14:textId="77777777" w:rsidR="00202231" w:rsidRDefault="00000000">
            <w:pPr>
              <w:pStyle w:val="Compact"/>
            </w:pPr>
            <w:r>
              <w:t>In a scalability test, 20 patient cases are initiated nearly simultaneously. All workflows proceed with response times within the defined performance criteria (e.g., triage still under 30s each). System resource usage (CPU, memory) is monitored and remains within acceptable bounds (no crashes or thrashing). The system can be scaled up (by adding agent instances) and continues to function correctly, demonstrating linear or sub-linear performance degradation with increased load.</w:t>
            </w:r>
          </w:p>
        </w:tc>
        <w:tc>
          <w:tcPr>
            <w:tcW w:w="0" w:type="auto"/>
          </w:tcPr>
          <w:p w14:paraId="431BCBB1" w14:textId="77777777" w:rsidR="00202231" w:rsidRDefault="00000000">
            <w:pPr>
              <w:pStyle w:val="Compact"/>
            </w:pPr>
            <w:r>
              <w:t>Medium</w:t>
            </w:r>
          </w:p>
        </w:tc>
        <w:tc>
          <w:tcPr>
            <w:tcW w:w="0" w:type="auto"/>
          </w:tcPr>
          <w:p w14:paraId="1C62163A" w14:textId="77777777" w:rsidR="00202231" w:rsidRDefault="00000000">
            <w:pPr>
              <w:pStyle w:val="Compact"/>
            </w:pPr>
            <w:r>
              <w:t>Capacity planning requirement</w:t>
            </w:r>
          </w:p>
        </w:tc>
        <w:tc>
          <w:tcPr>
            <w:tcW w:w="0" w:type="auto"/>
          </w:tcPr>
          <w:p w14:paraId="79FB6923" w14:textId="77777777" w:rsidR="00202231" w:rsidRDefault="00000000">
            <w:pPr>
              <w:pStyle w:val="Compact"/>
            </w:pPr>
            <w:r>
              <w:t>Throughput &amp; Load Handling</w:t>
            </w:r>
          </w:p>
        </w:tc>
      </w:tr>
      <w:tr w:rsidR="00202231" w14:paraId="2159B20C" w14:textId="77777777" w:rsidTr="00C34C82">
        <w:tc>
          <w:tcPr>
            <w:tcW w:w="0" w:type="auto"/>
          </w:tcPr>
          <w:p w14:paraId="5E9EAF53" w14:textId="77777777" w:rsidR="00202231" w:rsidRDefault="00000000">
            <w:pPr>
              <w:pStyle w:val="Compact"/>
            </w:pPr>
            <w:r>
              <w:t>NFR-7</w:t>
            </w:r>
          </w:p>
        </w:tc>
        <w:tc>
          <w:tcPr>
            <w:tcW w:w="0" w:type="auto"/>
          </w:tcPr>
          <w:p w14:paraId="08B8D9EC" w14:textId="77777777" w:rsidR="00202231" w:rsidRDefault="00000000">
            <w:pPr>
              <w:pStyle w:val="Compact"/>
            </w:pPr>
            <w:r>
              <w:t>Non-Functional</w:t>
            </w:r>
          </w:p>
        </w:tc>
        <w:tc>
          <w:tcPr>
            <w:tcW w:w="0" w:type="auto"/>
          </w:tcPr>
          <w:p w14:paraId="368CF340" w14:textId="77777777" w:rsidR="00202231" w:rsidRDefault="00000000">
            <w:pPr>
              <w:pStyle w:val="Compact"/>
            </w:pPr>
            <w:r>
              <w:t>Reliability &amp; Fault Tolerance: The system shall be resilient to failures. Each agent should have health monitoring; if an agent becomes unresponsive or crashes, it should automatically restart or a standby instance should take over to continue the workflow. Transactions or state updates should be durable so that a partial failure (e.g., right after a patient was triaged but before diagnosis) does not require restarting the whole process. The target system availability is 99.9% or higher, reflecting minimal downtime.</w:t>
            </w:r>
          </w:p>
        </w:tc>
        <w:tc>
          <w:tcPr>
            <w:tcW w:w="0" w:type="auto"/>
          </w:tcPr>
          <w:p w14:paraId="585CA0C9" w14:textId="77777777" w:rsidR="00202231" w:rsidRDefault="00000000">
            <w:pPr>
              <w:pStyle w:val="Compact"/>
            </w:pPr>
            <w:r>
              <w:t>In a critical healthcare setting, system downtime or data loss could directly impact patient safety. The architecture must handle failures gracefully and avoid single points of failure.</w:t>
            </w:r>
          </w:p>
        </w:tc>
        <w:tc>
          <w:tcPr>
            <w:tcW w:w="0" w:type="auto"/>
          </w:tcPr>
          <w:p w14:paraId="7491243F" w14:textId="77777777" w:rsidR="00202231" w:rsidRDefault="00000000">
            <w:pPr>
              <w:pStyle w:val="Compact"/>
            </w:pPr>
            <w:r>
              <w:t>Simulate failures: for example, during a workflow, terminate the Diagnostics Agent. The system detects the failure (via missed heartbeat or error on RPC call) and the Care Coordinator either retries the request on a restarted instance or alerts an operator. The workflow continues once the service is restored, without data loss (the patient record still has the triage info, etc.). Uptime monitoring logs show that the system meets the 99.9% availability target over a given period (e.g., less than 8.8 hours downtime/year).</w:t>
            </w:r>
          </w:p>
        </w:tc>
        <w:tc>
          <w:tcPr>
            <w:tcW w:w="0" w:type="auto"/>
          </w:tcPr>
          <w:p w14:paraId="7F286DEF" w14:textId="77777777" w:rsidR="00202231" w:rsidRDefault="00000000">
            <w:pPr>
              <w:pStyle w:val="Compact"/>
            </w:pPr>
            <w:r>
              <w:t>High</w:t>
            </w:r>
          </w:p>
        </w:tc>
        <w:tc>
          <w:tcPr>
            <w:tcW w:w="0" w:type="auto"/>
          </w:tcPr>
          <w:p w14:paraId="4D0E5D23" w14:textId="77777777" w:rsidR="00202231" w:rsidRDefault="00000000">
            <w:pPr>
              <w:pStyle w:val="Compact"/>
            </w:pPr>
            <w:r>
              <w:t>High availability requirement (hospital IT standard)</w:t>
            </w:r>
          </w:p>
        </w:tc>
        <w:tc>
          <w:tcPr>
            <w:tcW w:w="0" w:type="auto"/>
          </w:tcPr>
          <w:p w14:paraId="3B17F689" w14:textId="77777777" w:rsidR="00202231" w:rsidRDefault="00000000">
            <w:pPr>
              <w:pStyle w:val="Compact"/>
            </w:pPr>
            <w:r>
              <w:t>System Resilience</w:t>
            </w:r>
          </w:p>
        </w:tc>
      </w:tr>
      <w:tr w:rsidR="00202231" w14:paraId="0786200D" w14:textId="77777777" w:rsidTr="00C34C82">
        <w:tc>
          <w:tcPr>
            <w:tcW w:w="0" w:type="auto"/>
          </w:tcPr>
          <w:p w14:paraId="09104CC1" w14:textId="77777777" w:rsidR="00202231" w:rsidRDefault="00000000">
            <w:pPr>
              <w:pStyle w:val="Compact"/>
            </w:pPr>
            <w:r>
              <w:t>NFR-8</w:t>
            </w:r>
          </w:p>
        </w:tc>
        <w:tc>
          <w:tcPr>
            <w:tcW w:w="0" w:type="auto"/>
          </w:tcPr>
          <w:p w14:paraId="515D4C26" w14:textId="77777777" w:rsidR="00202231" w:rsidRDefault="00000000">
            <w:pPr>
              <w:pStyle w:val="Compact"/>
            </w:pPr>
            <w:r>
              <w:t>Non-Functional</w:t>
            </w:r>
          </w:p>
        </w:tc>
        <w:tc>
          <w:tcPr>
            <w:tcW w:w="0" w:type="auto"/>
          </w:tcPr>
          <w:p w14:paraId="033F24F3" w14:textId="77777777" w:rsidR="00202231" w:rsidRDefault="00000000">
            <w:pPr>
              <w:pStyle w:val="Compact"/>
            </w:pPr>
            <w:r>
              <w:t>Auditability &amp; Traceability: The system shall maintain an immutable audit log of all significant agent actions and interactions. Each step an agent takes for a patient (e.g., triage decision, diagnosis result, medication recommended, data transmitted) must be recorded with timestamp, agent ID, and key details, so that the entire patient journey can be reconstructed after the fact</w:t>
            </w:r>
            <w:hyperlink r:id="rId23" w:anchor=":~:text=In%20these%20experiments%2C%20patient%20demographics%2C,for%20validation%2C%20maintaining%20clinical%20oversight">
              <w:r>
                <w:rPr>
                  <w:rStyle w:val="Hyperlink"/>
                </w:rPr>
                <w:t>[11]</w:t>
              </w:r>
            </w:hyperlink>
            <w:r>
              <w:t xml:space="preserve">. The reasoning or explanation provided by AI agents (like the triage rationale or diagnostic justification) </w:t>
            </w:r>
            <w:r>
              <w:lastRenderedPageBreak/>
              <w:t>should also be logged or stored in the patient record for later review.</w:t>
            </w:r>
          </w:p>
        </w:tc>
        <w:tc>
          <w:tcPr>
            <w:tcW w:w="0" w:type="auto"/>
          </w:tcPr>
          <w:p w14:paraId="28793B45" w14:textId="77777777" w:rsidR="00202231" w:rsidRDefault="00000000">
            <w:pPr>
              <w:pStyle w:val="Compact"/>
            </w:pPr>
            <w:r>
              <w:lastRenderedPageBreak/>
              <w:t>Supports post-case review, quality improvement, and forensic analysis in case of errors. It also helps in verifying that the AI is making decisions consistent with medical standards, thereby building trust and facilitating compliance audits.</w:t>
            </w:r>
          </w:p>
        </w:tc>
        <w:tc>
          <w:tcPr>
            <w:tcW w:w="0" w:type="auto"/>
          </w:tcPr>
          <w:p w14:paraId="4DE39A5D" w14:textId="77777777" w:rsidR="00202231" w:rsidRDefault="00000000">
            <w:pPr>
              <w:pStyle w:val="Compact"/>
            </w:pPr>
            <w:r>
              <w:t xml:space="preserve">After a patient case completes, an administrator can query an audit log and see a chronological record of interactions (triage at time X by Triage Agent with result Y, Diagnostics Agent called at time Z with outcome, etc.). Each entry is tamper-resistant (e.g., write-once store or cryptographic integrity checks). In tests, intentionally altered log entries are detected (integrity check fails). Also, regulatory compliance checks (for example, verifying that for every critical decision there is an audit trail entry) pass </w:t>
            </w:r>
            <w:r>
              <w:lastRenderedPageBreak/>
              <w:t>successfully.</w:t>
            </w:r>
          </w:p>
        </w:tc>
        <w:tc>
          <w:tcPr>
            <w:tcW w:w="0" w:type="auto"/>
          </w:tcPr>
          <w:p w14:paraId="2FA5B987" w14:textId="77777777" w:rsidR="00202231" w:rsidRDefault="00000000">
            <w:pPr>
              <w:pStyle w:val="Compact"/>
            </w:pPr>
            <w:r>
              <w:lastRenderedPageBreak/>
              <w:t>High</w:t>
            </w:r>
          </w:p>
        </w:tc>
        <w:tc>
          <w:tcPr>
            <w:tcW w:w="0" w:type="auto"/>
          </w:tcPr>
          <w:p w14:paraId="03CB3E6C" w14:textId="77777777" w:rsidR="00202231" w:rsidRDefault="00000000">
            <w:pPr>
              <w:pStyle w:val="Compact"/>
            </w:pPr>
            <w:r>
              <w:t>Quality &amp; safety requirement</w:t>
            </w:r>
            <w:hyperlink r:id="rId24" w:anchor=":~:text=In%20these%20experiments%2C%20patient%20demographics%2C,for%20validation%2C%20maintaining%20clinical%20oversight">
              <w:r>
                <w:rPr>
                  <w:rStyle w:val="Hyperlink"/>
                </w:rPr>
                <w:t>[11]</w:t>
              </w:r>
            </w:hyperlink>
          </w:p>
        </w:tc>
        <w:tc>
          <w:tcPr>
            <w:tcW w:w="0" w:type="auto"/>
          </w:tcPr>
          <w:p w14:paraId="27266890" w14:textId="77777777" w:rsidR="00202231" w:rsidRDefault="00000000">
            <w:pPr>
              <w:pStyle w:val="Compact"/>
            </w:pPr>
            <w:r>
              <w:t>Traceability &amp; Accountability</w:t>
            </w:r>
          </w:p>
        </w:tc>
      </w:tr>
      <w:tr w:rsidR="00202231" w14:paraId="277967C0" w14:textId="77777777" w:rsidTr="00C34C82">
        <w:tc>
          <w:tcPr>
            <w:tcW w:w="0" w:type="auto"/>
          </w:tcPr>
          <w:p w14:paraId="3F884DFE" w14:textId="77777777" w:rsidR="00202231" w:rsidRDefault="00000000">
            <w:pPr>
              <w:pStyle w:val="Compact"/>
            </w:pPr>
            <w:r>
              <w:t>NFR-9</w:t>
            </w:r>
          </w:p>
        </w:tc>
        <w:tc>
          <w:tcPr>
            <w:tcW w:w="0" w:type="auto"/>
          </w:tcPr>
          <w:p w14:paraId="6B24D6BF" w14:textId="77777777" w:rsidR="00202231" w:rsidRDefault="00000000">
            <w:pPr>
              <w:pStyle w:val="Compact"/>
            </w:pPr>
            <w:r>
              <w:t>Non-Functional</w:t>
            </w:r>
          </w:p>
        </w:tc>
        <w:tc>
          <w:tcPr>
            <w:tcW w:w="0" w:type="auto"/>
          </w:tcPr>
          <w:p w14:paraId="7F4F568B" w14:textId="77777777" w:rsidR="00202231" w:rsidRDefault="00000000">
            <w:pPr>
              <w:pStyle w:val="Compact"/>
            </w:pPr>
            <w:r>
              <w:t>Modularity &amp; Extensibility: The system architecture shall be modular. It should be possible to add a new departmental AI agent or replace an existing one with minimal impact on other components, as long as it adheres to the NEXUS-A2A protocol (discovery, authentication, JSON-RPC interface). For example, adding a Lab Testing Agent for blood tests or a Nutrition Agent for dietary recommendations in the future should only require creating the new agent service and updating configuration, but not changing existing agent code.</w:t>
            </w:r>
          </w:p>
        </w:tc>
        <w:tc>
          <w:tcPr>
            <w:tcW w:w="0" w:type="auto"/>
          </w:tcPr>
          <w:p w14:paraId="21B807C3" w14:textId="77777777" w:rsidR="00202231" w:rsidRDefault="00000000">
            <w:pPr>
              <w:pStyle w:val="Compact"/>
            </w:pPr>
            <w:r>
              <w:t>Allows the hospital to evolve and expand the AI system over time to cover more services or upgrade capabilities without rebuilding the whole system. It protects the initial investment and enables innovation.</w:t>
            </w:r>
          </w:p>
        </w:tc>
        <w:tc>
          <w:tcPr>
            <w:tcW w:w="0" w:type="auto"/>
          </w:tcPr>
          <w:p w14:paraId="2C0E81A8" w14:textId="77777777" w:rsidR="00202231" w:rsidRDefault="00000000">
            <w:pPr>
              <w:pStyle w:val="Compact"/>
            </w:pPr>
            <w:r>
              <w:t>Architecture review shows low coupling: agents interact only through defined interfaces. A prototype new agent (e.g., a Physical Therapy Agent) is added and, after registering its agent card, the coordinator can include it in a workflow without modifying the other agents’ code. All tests still pass, indicating that existing functionality was not broken by the addition. Documentation exists guiding how to integrate new agents following the same standards.</w:t>
            </w:r>
          </w:p>
        </w:tc>
        <w:tc>
          <w:tcPr>
            <w:tcW w:w="0" w:type="auto"/>
          </w:tcPr>
          <w:p w14:paraId="4390DE40" w14:textId="77777777" w:rsidR="00202231" w:rsidRDefault="00000000">
            <w:pPr>
              <w:pStyle w:val="Compact"/>
            </w:pPr>
            <w:r>
              <w:t>Medium</w:t>
            </w:r>
          </w:p>
        </w:tc>
        <w:tc>
          <w:tcPr>
            <w:tcW w:w="0" w:type="auto"/>
          </w:tcPr>
          <w:p w14:paraId="27AB1D63" w14:textId="77777777" w:rsidR="00202231" w:rsidRDefault="00000000">
            <w:pPr>
              <w:pStyle w:val="Compact"/>
            </w:pPr>
            <w:r>
              <w:t>Architectural principle (modular design)</w:t>
            </w:r>
          </w:p>
        </w:tc>
        <w:tc>
          <w:tcPr>
            <w:tcW w:w="0" w:type="auto"/>
          </w:tcPr>
          <w:p w14:paraId="6A931429" w14:textId="77777777" w:rsidR="00202231" w:rsidRDefault="00000000">
            <w:pPr>
              <w:pStyle w:val="Compact"/>
            </w:pPr>
            <w:r>
              <w:t>Future Enhancement</w:t>
            </w:r>
          </w:p>
        </w:tc>
      </w:tr>
      <w:tr w:rsidR="00202231" w14:paraId="6840DD7A" w14:textId="77777777" w:rsidTr="00C34C82">
        <w:tc>
          <w:tcPr>
            <w:tcW w:w="0" w:type="auto"/>
          </w:tcPr>
          <w:p w14:paraId="778DF814" w14:textId="77777777" w:rsidR="00202231" w:rsidRDefault="00000000">
            <w:pPr>
              <w:pStyle w:val="Compact"/>
            </w:pPr>
            <w:r>
              <w:t>NFR-10</w:t>
            </w:r>
          </w:p>
        </w:tc>
        <w:tc>
          <w:tcPr>
            <w:tcW w:w="0" w:type="auto"/>
          </w:tcPr>
          <w:p w14:paraId="1C731479" w14:textId="77777777" w:rsidR="00202231" w:rsidRDefault="00000000">
            <w:pPr>
              <w:pStyle w:val="Compact"/>
            </w:pPr>
            <w:r>
              <w:t>Non-Functional</w:t>
            </w:r>
          </w:p>
        </w:tc>
        <w:tc>
          <w:tcPr>
            <w:tcW w:w="0" w:type="auto"/>
          </w:tcPr>
          <w:p w14:paraId="05E52D84" w14:textId="77777777" w:rsidR="00202231" w:rsidRDefault="00000000">
            <w:pPr>
              <w:pStyle w:val="Compact"/>
            </w:pPr>
            <w:r>
              <w:t>Human Oversight &amp; Control: Clinicians shall be able to monitor the AI agents’ decisions in real time and intervene when necessary. The system will provide mechanisms for a human to override an AI decision or workflow step. For example, a doctor can adjust the triage level or cancel an automated medication order before it’s finalized. Final responsibility for patient care remains with the human clinicians at all times</w:t>
            </w:r>
            <w:hyperlink r:id="rId25" w:anchor=":~:text=Early%20findings%20suggest%20that%20integrating,and%20drafting%20structured%20reports%E2%80%94while%20final">
              <w:r>
                <w:rPr>
                  <w:rStyle w:val="Hyperlink"/>
                </w:rPr>
                <w:t>[12]</w:t>
              </w:r>
            </w:hyperlink>
            <w:r>
              <w:t>.</w:t>
            </w:r>
          </w:p>
        </w:tc>
        <w:tc>
          <w:tcPr>
            <w:tcW w:w="0" w:type="auto"/>
          </w:tcPr>
          <w:p w14:paraId="440FE656" w14:textId="77777777" w:rsidR="00202231" w:rsidRDefault="00000000">
            <w:pPr>
              <w:pStyle w:val="Compact"/>
            </w:pPr>
            <w:r>
              <w:t>Maintains clinical safety and builds trust by ensuring that human experts can correct or halt AI-driven processes if they detect an issue. This addresses the requirement that AI support, but not replace, human judgment in patient care.</w:t>
            </w:r>
          </w:p>
        </w:tc>
        <w:tc>
          <w:tcPr>
            <w:tcW w:w="0" w:type="auto"/>
          </w:tcPr>
          <w:p w14:paraId="310452BA" w14:textId="77777777" w:rsidR="00202231" w:rsidRDefault="00000000">
            <w:pPr>
              <w:pStyle w:val="Compact"/>
            </w:pPr>
            <w:r>
              <w:t>During a simulated scenario, a clinician user interface is able to display each agent’s outputs (triage category, diagnosis suggestions, etc.) as they occur. The clinician can input an override (e.g., mark the patient as highest priority manually or select a different medication than recommended), and the system respects this change, propagating it through the workflow. The override action is logged. Additionally, a review of several cases confirms that where clinicians intervened, the system’s records reflect the human decision as final.</w:t>
            </w:r>
          </w:p>
        </w:tc>
        <w:tc>
          <w:tcPr>
            <w:tcW w:w="0" w:type="auto"/>
          </w:tcPr>
          <w:p w14:paraId="0DE6691D" w14:textId="77777777" w:rsidR="00202231" w:rsidRDefault="00000000">
            <w:pPr>
              <w:pStyle w:val="Compact"/>
            </w:pPr>
            <w:r>
              <w:t>Medium</w:t>
            </w:r>
          </w:p>
        </w:tc>
        <w:tc>
          <w:tcPr>
            <w:tcW w:w="0" w:type="auto"/>
          </w:tcPr>
          <w:p w14:paraId="5B5B3235" w14:textId="77777777" w:rsidR="00202231" w:rsidRDefault="00000000">
            <w:pPr>
              <w:pStyle w:val="Compact"/>
            </w:pPr>
            <w:r>
              <w:t>Clinical governance requirement</w:t>
            </w:r>
            <w:hyperlink r:id="rId26" w:anchor=":~:text=Early%20findings%20suggest%20that%20integrating,and%20drafting%20structured%20reports%E2%80%94while%20final">
              <w:r>
                <w:rPr>
                  <w:rStyle w:val="Hyperlink"/>
                </w:rPr>
                <w:t>[12]</w:t>
              </w:r>
            </w:hyperlink>
          </w:p>
        </w:tc>
        <w:tc>
          <w:tcPr>
            <w:tcW w:w="0" w:type="auto"/>
          </w:tcPr>
          <w:p w14:paraId="54A20FB1" w14:textId="77777777" w:rsidR="00202231" w:rsidRDefault="00000000">
            <w:pPr>
              <w:pStyle w:val="Compact"/>
            </w:pPr>
            <w:r>
              <w:t>Safety (Human-in-the-loop control)</w:t>
            </w:r>
          </w:p>
        </w:tc>
      </w:tr>
      <w:tr w:rsidR="00202231" w14:paraId="4DAF351C" w14:textId="77777777" w:rsidTr="00C34C82">
        <w:tc>
          <w:tcPr>
            <w:tcW w:w="0" w:type="auto"/>
          </w:tcPr>
          <w:p w14:paraId="1B7D8BE8" w14:textId="77777777" w:rsidR="00202231" w:rsidRDefault="00202231">
            <w:pPr>
              <w:pStyle w:val="Compact"/>
            </w:pPr>
          </w:p>
        </w:tc>
        <w:tc>
          <w:tcPr>
            <w:tcW w:w="0" w:type="auto"/>
          </w:tcPr>
          <w:p w14:paraId="3A6CFD0D" w14:textId="77777777" w:rsidR="00202231" w:rsidRDefault="00202231">
            <w:pPr>
              <w:pStyle w:val="Compact"/>
            </w:pPr>
          </w:p>
        </w:tc>
        <w:tc>
          <w:tcPr>
            <w:tcW w:w="0" w:type="auto"/>
          </w:tcPr>
          <w:p w14:paraId="0234B74A" w14:textId="77777777" w:rsidR="00202231" w:rsidRDefault="00202231">
            <w:pPr>
              <w:pStyle w:val="Compact"/>
            </w:pPr>
          </w:p>
        </w:tc>
        <w:tc>
          <w:tcPr>
            <w:tcW w:w="0" w:type="auto"/>
          </w:tcPr>
          <w:p w14:paraId="3B684403" w14:textId="77777777" w:rsidR="00202231" w:rsidRDefault="00202231">
            <w:pPr>
              <w:pStyle w:val="Compact"/>
            </w:pPr>
          </w:p>
        </w:tc>
        <w:tc>
          <w:tcPr>
            <w:tcW w:w="0" w:type="auto"/>
          </w:tcPr>
          <w:p w14:paraId="2A05EE6D" w14:textId="77777777" w:rsidR="00202231" w:rsidRDefault="00202231">
            <w:pPr>
              <w:pStyle w:val="Compact"/>
            </w:pPr>
          </w:p>
        </w:tc>
        <w:tc>
          <w:tcPr>
            <w:tcW w:w="0" w:type="auto"/>
          </w:tcPr>
          <w:p w14:paraId="40989314" w14:textId="77777777" w:rsidR="00202231" w:rsidRDefault="00202231">
            <w:pPr>
              <w:pStyle w:val="Compact"/>
            </w:pPr>
          </w:p>
        </w:tc>
        <w:tc>
          <w:tcPr>
            <w:tcW w:w="0" w:type="auto"/>
          </w:tcPr>
          <w:p w14:paraId="384F4B0C" w14:textId="77777777" w:rsidR="00202231" w:rsidRDefault="00202231">
            <w:pPr>
              <w:pStyle w:val="Compact"/>
            </w:pPr>
          </w:p>
        </w:tc>
        <w:tc>
          <w:tcPr>
            <w:tcW w:w="0" w:type="auto"/>
          </w:tcPr>
          <w:p w14:paraId="54FECA99" w14:textId="77777777" w:rsidR="00202231" w:rsidRDefault="00202231">
            <w:pPr>
              <w:pStyle w:val="Compact"/>
            </w:pPr>
          </w:p>
        </w:tc>
      </w:tr>
    </w:tbl>
    <w:bookmarkEnd w:id="1"/>
    <w:bookmarkEnd w:id="2"/>
    <w:bookmarkEnd w:id="4"/>
    <w:p w14:paraId="559551BB" w14:textId="77777777" w:rsidR="00202231" w:rsidRDefault="00000000">
      <w:r>
        <w:pict w14:anchorId="674EF9CE">
          <v:rect id="_x0000_i1025" style="width:0;height:1.5pt" o:hralign="center" o:hrstd="t" o:hr="t"/>
        </w:pict>
      </w:r>
    </w:p>
    <w:bookmarkStart w:id="5" w:name="citations"/>
    <w:p w14:paraId="5C6D559D" w14:textId="77777777" w:rsidR="00202231" w:rsidRDefault="00000000">
      <w:pPr>
        <w:pStyle w:val="FirstParagraph"/>
      </w:pPr>
      <w:r>
        <w:fldChar w:fldCharType="begin"/>
      </w:r>
      <w:r>
        <w:instrText>HYPERLINK "https://mail.google.com/mail/u/0/" \l "all/19c2a5175e7dffda" \h</w:instrText>
      </w:r>
      <w:r>
        <w:fldChar w:fldCharType="separate"/>
      </w:r>
      <w:r>
        <w:rPr>
          <w:rStyle w:val="Hyperlink"/>
        </w:rPr>
        <w:t>[1]</w:t>
      </w:r>
      <w:r>
        <w:fldChar w:fldCharType="end"/>
      </w:r>
      <w:r>
        <w:t xml:space="preserve"> </w:t>
      </w:r>
      <w:hyperlink r:id="rId27" w:anchor="all/19c2a5175e7dffda">
        <w:r>
          <w:rPr>
            <w:rStyle w:val="Hyperlink"/>
          </w:rPr>
          <w:t>[2]</w:t>
        </w:r>
      </w:hyperlink>
      <w:r>
        <w:t xml:space="preserve"> </w:t>
      </w:r>
      <w:hyperlink r:id="rId28" w:anchor="all/19c2a5175e7dffda">
        <w:r>
          <w:rPr>
            <w:rStyle w:val="Hyperlink"/>
          </w:rPr>
          <w:t>[3]</w:t>
        </w:r>
      </w:hyperlink>
      <w:r>
        <w:t xml:space="preserve"> </w:t>
      </w:r>
      <w:hyperlink r:id="rId29" w:anchor="all/19c2a5175e7dffda">
        <w:r>
          <w:rPr>
            <w:rStyle w:val="Hyperlink"/>
          </w:rPr>
          <w:t>[4]</w:t>
        </w:r>
      </w:hyperlink>
      <w:r>
        <w:t xml:space="preserve"> </w:t>
      </w:r>
      <w:hyperlink r:id="rId30" w:anchor="all/19c2a5175e7dffda">
        <w:r>
          <w:rPr>
            <w:rStyle w:val="Hyperlink"/>
          </w:rPr>
          <w:t>[5]</w:t>
        </w:r>
      </w:hyperlink>
      <w:r>
        <w:t xml:space="preserve"> </w:t>
      </w:r>
      <w:hyperlink r:id="rId31" w:anchor="all/19c2a5175e7dffda">
        <w:r>
          <w:rPr>
            <w:rStyle w:val="Hyperlink"/>
          </w:rPr>
          <w:t>[6]</w:t>
        </w:r>
      </w:hyperlink>
      <w:r>
        <w:t xml:space="preserve"> </w:t>
      </w:r>
      <w:hyperlink r:id="rId32" w:anchor="all/19c2a5175e7dffda">
        <w:r>
          <w:rPr>
            <w:rStyle w:val="Hyperlink"/>
          </w:rPr>
          <w:t>[7]</w:t>
        </w:r>
      </w:hyperlink>
      <w:r>
        <w:t xml:space="preserve"> [GmailTedam/NEXUS-A2A-Protocol] Implement NEXUS-A2A protocol PoC with FastAPI, JSON-RPC 2.0, and ED triage workflow (PR #1)</w:t>
      </w:r>
    </w:p>
    <w:p w14:paraId="697A4A57" w14:textId="77777777" w:rsidR="00202231" w:rsidRDefault="00000000">
      <w:pPr>
        <w:pStyle w:val="BodyText"/>
      </w:pPr>
      <w:hyperlink r:id="rId33">
        <w:r>
          <w:rPr>
            <w:rStyle w:val="Hyperlink"/>
          </w:rPr>
          <w:t>https://mail.google.com/mail/u/0/</w:t>
        </w:r>
      </w:hyperlink>
    </w:p>
    <w:p w14:paraId="1382D170" w14:textId="77777777" w:rsidR="00202231" w:rsidRDefault="00000000">
      <w:pPr>
        <w:pStyle w:val="BodyText"/>
      </w:pPr>
      <w:hyperlink r:id="rId34" w:anchor=":~:text=,suitable%20for%20highly%20secure%20environments">
        <w:r>
          <w:rPr>
            <w:rStyle w:val="Hyperlink"/>
          </w:rPr>
          <w:t>[8]</w:t>
        </w:r>
      </w:hyperlink>
      <w:r>
        <w:t xml:space="preserve"> </w:t>
      </w:r>
      <w:hyperlink r:id="rId35" w:anchor=":~:text=,token%20validation%20and%20token%20introspection">
        <w:r>
          <w:rPr>
            <w:rStyle w:val="Hyperlink"/>
          </w:rPr>
          <w:t>[9]</w:t>
        </w:r>
      </w:hyperlink>
      <w:r>
        <w:t xml:space="preserve"> </w:t>
      </w:r>
      <w:hyperlink r:id="rId36" w:anchor=":~:text=,or%20services%20can%20access%20resources">
        <w:r>
          <w:rPr>
            <w:rStyle w:val="Hyperlink"/>
          </w:rPr>
          <w:t>[10]</w:t>
        </w:r>
      </w:hyperlink>
      <w:r>
        <w:t xml:space="preserve"> Authentication and Authorization in Microservices - GeeksforGeeks</w:t>
      </w:r>
    </w:p>
    <w:p w14:paraId="1CA96365" w14:textId="77777777" w:rsidR="00202231" w:rsidRDefault="00000000">
      <w:pPr>
        <w:pStyle w:val="BodyText"/>
      </w:pPr>
      <w:hyperlink r:id="rId37">
        <w:r>
          <w:rPr>
            <w:rStyle w:val="Hyperlink"/>
          </w:rPr>
          <w:t>https://www.geeksforgeeks.org/system-design/authentication-and-authorization-in-microservices/</w:t>
        </w:r>
      </w:hyperlink>
    </w:p>
    <w:p w14:paraId="2956EBE4" w14:textId="77777777" w:rsidR="00202231" w:rsidRDefault="00000000">
      <w:pPr>
        <w:pStyle w:val="BodyText"/>
      </w:pPr>
      <w:hyperlink r:id="rId38" w:anchor=":~:text=In%20these%20experiments%2C%20patient%20demographics%2C,for%20validation%2C%20maintaining%20clinical%20oversight">
        <w:r>
          <w:rPr>
            <w:rStyle w:val="Hyperlink"/>
          </w:rPr>
          <w:t>[11]</w:t>
        </w:r>
      </w:hyperlink>
      <w:r>
        <w:t xml:space="preserve"> </w:t>
      </w:r>
      <w:hyperlink r:id="rId39" w:anchor=":~:text=Early%20findings%20suggest%20that%20integrating,and%20drafting%20structured%20reports%E2%80%94while%20final">
        <w:r>
          <w:rPr>
            <w:rStyle w:val="Hyperlink"/>
          </w:rPr>
          <w:t>[12]</w:t>
        </w:r>
      </w:hyperlink>
      <w:r>
        <w:t xml:space="preserve"> Reinventing radiology imaging workflows with agentic AI - GE HealthCare Research</w:t>
      </w:r>
    </w:p>
    <w:p w14:paraId="06A44746" w14:textId="77777777" w:rsidR="00202231" w:rsidRDefault="00000000">
      <w:pPr>
        <w:pStyle w:val="BodyText"/>
      </w:pPr>
      <w:hyperlink r:id="rId40">
        <w:r>
          <w:rPr>
            <w:rStyle w:val="Hyperlink"/>
          </w:rPr>
          <w:t>https://research.gehealthcare.com/patient-care-pathways/reinventing-radiology-imaging-workflows-with-agentic-ai-jb35459xx/</w:t>
        </w:r>
      </w:hyperlink>
      <w:bookmarkEnd w:id="5"/>
    </w:p>
    <w:sectPr w:rsidR="00202231" w:rsidSect="00C34C82">
      <w:footnotePr>
        <w:numRestart w:val="eachSect"/>
      </w:footnotePr>
      <w:pgSz w:w="23811" w:h="16838" w:orient="landscape" w:code="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3A41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2885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02231"/>
    <w:rsid w:val="00202231"/>
    <w:rsid w:val="00BE3D16"/>
    <w:rsid w:val="00C34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C0C6"/>
  <w15:docId w15:val="{7292B1E5-B8C9-45F4-9FD2-035B358B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il.google.com/mail/u/0/" TargetMode="External"/><Relationship Id="rId18" Type="http://schemas.openxmlformats.org/officeDocument/2006/relationships/hyperlink" Target="https://www.geeksforgeeks.org/system-design/authentication-and-authorization-in-microservices/" TargetMode="External"/><Relationship Id="rId26" Type="http://schemas.openxmlformats.org/officeDocument/2006/relationships/hyperlink" Target="https://research.gehealthcare.com/patient-care-pathways/reinventing-radiology-imaging-workflows-with-agentic-ai-jb35459xx/" TargetMode="External"/><Relationship Id="rId39" Type="http://schemas.openxmlformats.org/officeDocument/2006/relationships/hyperlink" Target="https://research.gehealthcare.com/patient-care-pathways/reinventing-radiology-imaging-workflows-with-agentic-ai-jb35459xx/" TargetMode="External"/><Relationship Id="rId21" Type="http://schemas.openxmlformats.org/officeDocument/2006/relationships/hyperlink" Target="https://www.geeksforgeeks.org/system-design/authentication-and-authorization-in-microservices/" TargetMode="External"/><Relationship Id="rId34" Type="http://schemas.openxmlformats.org/officeDocument/2006/relationships/hyperlink" Target="https://www.geeksforgeeks.org/system-design/authentication-and-authorization-in-microservices/" TargetMode="External"/><Relationship Id="rId42" Type="http://schemas.openxmlformats.org/officeDocument/2006/relationships/theme" Target="theme/theme1.xml"/><Relationship Id="rId7" Type="http://schemas.openxmlformats.org/officeDocument/2006/relationships/hyperlink" Target="https://mail.google.com/mail/u/0/" TargetMode="External"/><Relationship Id="rId2" Type="http://schemas.openxmlformats.org/officeDocument/2006/relationships/styles" Target="styles.xml"/><Relationship Id="rId16" Type="http://schemas.openxmlformats.org/officeDocument/2006/relationships/hyperlink" Target="https://mail.google.com/mail/u/0/" TargetMode="External"/><Relationship Id="rId20" Type="http://schemas.openxmlformats.org/officeDocument/2006/relationships/hyperlink" Target="https://www.geeksforgeeks.org/system-design/authentication-and-authorization-in-microservices/" TargetMode="External"/><Relationship Id="rId29" Type="http://schemas.openxmlformats.org/officeDocument/2006/relationships/hyperlink" Target="https://mail.google.com/mail/u/0/"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ail.google.com/mail/u/0/" TargetMode="External"/><Relationship Id="rId11" Type="http://schemas.openxmlformats.org/officeDocument/2006/relationships/hyperlink" Target="https://mail.google.com/mail/u/0/" TargetMode="External"/><Relationship Id="rId24" Type="http://schemas.openxmlformats.org/officeDocument/2006/relationships/hyperlink" Target="https://research.gehealthcare.com/patient-care-pathways/reinventing-radiology-imaging-workflows-with-agentic-ai-jb35459xx/" TargetMode="External"/><Relationship Id="rId32" Type="http://schemas.openxmlformats.org/officeDocument/2006/relationships/hyperlink" Target="https://mail.google.com/mail/u/0/" TargetMode="External"/><Relationship Id="rId37" Type="http://schemas.openxmlformats.org/officeDocument/2006/relationships/hyperlink" Target="https://www.geeksforgeeks.org/system-design/authentication-and-authorization-in-microservices/" TargetMode="External"/><Relationship Id="rId40" Type="http://schemas.openxmlformats.org/officeDocument/2006/relationships/hyperlink" Target="https://research.gehealthcare.com/patient-care-pathways/reinventing-radiology-imaging-workflows-with-agentic-ai-jb35459xx/" TargetMode="External"/><Relationship Id="rId5" Type="http://schemas.openxmlformats.org/officeDocument/2006/relationships/hyperlink" Target="https://mail.google.com/mail/u/0/" TargetMode="External"/><Relationship Id="rId15" Type="http://schemas.openxmlformats.org/officeDocument/2006/relationships/hyperlink" Target="https://mail.google.com/mail/u/0/" TargetMode="External"/><Relationship Id="rId23" Type="http://schemas.openxmlformats.org/officeDocument/2006/relationships/hyperlink" Target="https://research.gehealthcare.com/patient-care-pathways/reinventing-radiology-imaging-workflows-with-agentic-ai-jb35459xx/" TargetMode="External"/><Relationship Id="rId28" Type="http://schemas.openxmlformats.org/officeDocument/2006/relationships/hyperlink" Target="https://mail.google.com/mail/u/0/" TargetMode="External"/><Relationship Id="rId36" Type="http://schemas.openxmlformats.org/officeDocument/2006/relationships/hyperlink" Target="https://www.geeksforgeeks.org/system-design/authentication-and-authorization-in-microservices/" TargetMode="External"/><Relationship Id="rId10" Type="http://schemas.openxmlformats.org/officeDocument/2006/relationships/hyperlink" Target="https://mail.google.com/mail/u/0/" TargetMode="External"/><Relationship Id="rId19" Type="http://schemas.openxmlformats.org/officeDocument/2006/relationships/hyperlink" Target="https://www.geeksforgeeks.org/system-design/authentication-and-authorization-in-microservices/" TargetMode="External"/><Relationship Id="rId31" Type="http://schemas.openxmlformats.org/officeDocument/2006/relationships/hyperlink" Target="https://mail.google.com/mail/u/0/" TargetMode="External"/><Relationship Id="rId4" Type="http://schemas.openxmlformats.org/officeDocument/2006/relationships/webSettings" Target="webSettings.xml"/><Relationship Id="rId9" Type="http://schemas.openxmlformats.org/officeDocument/2006/relationships/hyperlink" Target="https://mail.google.com/mail/u/0/" TargetMode="External"/><Relationship Id="rId14" Type="http://schemas.openxmlformats.org/officeDocument/2006/relationships/hyperlink" Target="https://mail.google.com/mail/u/0/" TargetMode="External"/><Relationship Id="rId22" Type="http://schemas.openxmlformats.org/officeDocument/2006/relationships/hyperlink" Target="https://www.geeksforgeeks.org/system-design/authentication-and-authorization-in-microservices/" TargetMode="External"/><Relationship Id="rId27" Type="http://schemas.openxmlformats.org/officeDocument/2006/relationships/hyperlink" Target="https://mail.google.com/mail/u/0/" TargetMode="External"/><Relationship Id="rId30" Type="http://schemas.openxmlformats.org/officeDocument/2006/relationships/hyperlink" Target="https://mail.google.com/mail/u/0/" TargetMode="External"/><Relationship Id="rId35" Type="http://schemas.openxmlformats.org/officeDocument/2006/relationships/hyperlink" Target="https://www.geeksforgeeks.org/system-design/authentication-and-authorization-in-microservices/" TargetMode="External"/><Relationship Id="rId8" Type="http://schemas.openxmlformats.org/officeDocument/2006/relationships/hyperlink" Target="https://mail.google.com/mail/u/0/" TargetMode="External"/><Relationship Id="rId3" Type="http://schemas.openxmlformats.org/officeDocument/2006/relationships/settings" Target="settings.xml"/><Relationship Id="rId12" Type="http://schemas.openxmlformats.org/officeDocument/2006/relationships/hyperlink" Target="https://mail.google.com/mail/u/0/" TargetMode="External"/><Relationship Id="rId17" Type="http://schemas.openxmlformats.org/officeDocument/2006/relationships/hyperlink" Target="https://www.geeksforgeeks.org/system-design/authentication-and-authorization-in-microservices/" TargetMode="External"/><Relationship Id="rId25" Type="http://schemas.openxmlformats.org/officeDocument/2006/relationships/hyperlink" Target="https://research.gehealthcare.com/patient-care-pathways/reinventing-radiology-imaging-workflows-with-agentic-ai-jb35459xx/" TargetMode="External"/><Relationship Id="rId33" Type="http://schemas.openxmlformats.org/officeDocument/2006/relationships/hyperlink" Target="https://mail.google.com/mail/u/0/" TargetMode="External"/><Relationship Id="rId38" Type="http://schemas.openxmlformats.org/officeDocument/2006/relationships/hyperlink" Target="https://research.gehealthcare.com/patient-care-pathways/reinventing-radiology-imaging-workflows-with-agentic-ai-jb35459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4770</Words>
  <Characters>27194</Characters>
  <Application>Microsoft Office Word</Application>
  <DocSecurity>0</DocSecurity>
  <Lines>226</Lines>
  <Paragraphs>63</Paragraphs>
  <ScaleCrop>false</ScaleCrop>
  <Company/>
  <LinksUpToDate>false</LinksUpToDate>
  <CharactersWithSpaces>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Tedam</cp:lastModifiedBy>
  <cp:revision>2</cp:revision>
  <dcterms:created xsi:type="dcterms:W3CDTF">2026-02-09T17:38:00Z</dcterms:created>
  <dcterms:modified xsi:type="dcterms:W3CDTF">2026-02-10T11:34:00Z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