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48"/>
          <w:szCs w:val="48"/>
        </w:rPr>
        <w:t xml:space="preserve">STRATEGIC RISK MITIGATION</w:t>
      </w:r>
    </w:p>
    <w:p>
      <w:pPr>
        <w:spacing w:after="100"/>
        <w:jc w:val="center"/>
      </w:pPr>
      <w:r>
        <w:rPr>
          <w:rFonts w:ascii="Arial" w:cs="Arial" w:eastAsia="Arial" w:hAnsi="Arial"/>
          <w:b/>
          <w:bCs/>
          <w:color w:val="1F4E79"/>
          <w:sz w:val="48"/>
          <w:szCs w:val="48"/>
        </w:rPr>
        <w:t xml:space="preserve">FRAMEWORK</w:t>
      </w:r>
    </w:p>
    <w:p>
      <w:pPr>
        <w:spacing w:after="400"/>
        <w:jc w:val="center"/>
      </w:pPr>
    </w:p>
    <w:p>
      <w:pPr>
        <w:pBdr>
          <w:top w:val="single" w:color="2E75B6" w:sz="6"/>
        </w:pBdr>
        <w:spacing w:after="100"/>
        <w:jc w:val="center"/>
      </w:pPr>
    </w:p>
    <w:p>
      <w:pPr>
        <w:spacing w:after="60"/>
        <w:jc w:val="center"/>
      </w:pPr>
      <w:r>
        <w:rPr>
          <w:rFonts w:ascii="Arial" w:cs="Arial" w:eastAsia="Arial" w:hAnsi="Arial"/>
          <w:color w:val="2E75B6"/>
          <w:sz w:val="28"/>
          <w:szCs w:val="28"/>
        </w:rPr>
        <w:t xml:space="preserve">Health Agent Workspace</w:t>
      </w:r>
    </w:p>
    <w:p>
      <w:pPr>
        <w:spacing w:after="60"/>
        <w:jc w:val="center"/>
      </w:pPr>
      <w:r>
        <w:rPr>
          <w:rFonts w:ascii="Arial" w:cs="Arial" w:eastAsia="Arial" w:hAnsi="Arial"/>
          <w:color w:val="666666"/>
          <w:sz w:val="22"/>
          <w:szCs w:val="22"/>
        </w:rPr>
        <w:t xml:space="preserve">Integration Engine • Agent-to-Agent Protocol • Global Healthcare Registry</w:t>
      </w:r>
    </w:p>
    <w:p>
      <w:pPr>
        <w:spacing w:after="200"/>
        <w:jc w:val="center"/>
      </w:pPr>
      <w:r>
        <w:rPr>
          <w:rFonts w:ascii="Arial" w:cs="Arial" w:eastAsia="Arial" w:hAnsi="Arial"/>
          <w:i/>
          <w:iCs/>
          <w:color w:val="666666"/>
          <w:sz w:val="22"/>
          <w:szCs w:val="22"/>
        </w:rPr>
        <w:t xml:space="preserve">Serendipitous Capabilities: Risk Analysis &amp; Mitigation</w:t>
      </w:r>
    </w:p>
    <w:p>
      <w:pPr>
        <w:spacing w:after="60"/>
        <w:jc w:val="center"/>
      </w:pPr>
      <w:r>
        <w:rPr>
          <w:rFonts w:ascii="Arial" w:cs="Arial" w:eastAsia="Arial" w:hAnsi="Arial"/>
          <w:color w:val="888888"/>
          <w:sz w:val="20"/>
          <w:szCs w:val="20"/>
        </w:rPr>
        <w:t xml:space="preserve">Date: 15 March 2026</w:t>
      </w:r>
    </w:p>
    <w:p>
      <w:pPr>
        <w:spacing w:after="60"/>
        <w:jc w:val="center"/>
      </w:pPr>
      <w:r>
        <w:rPr>
          <w:rFonts w:ascii="Arial" w:cs="Arial" w:eastAsia="Arial" w:hAnsi="Arial"/>
          <w:color w:val="888888"/>
          <w:sz w:val="20"/>
          <w:szCs w:val="20"/>
        </w:rPr>
        <w:t xml:space="preserve">Classification: Strategic — Board Level</w:t>
      </w:r>
    </w:p>
    <w:p>
      <w:pPr>
        <w:spacing w:after="60"/>
        <w:jc w:val="center"/>
      </w:pPr>
      <w:r>
        <w:rPr>
          <w:rFonts w:ascii="Arial" w:cs="Arial" w:eastAsia="Arial" w:hAnsi="Arial"/>
          <w:color w:val="888888"/>
          <w:sz w:val="20"/>
          <w:szCs w:val="20"/>
        </w:rPr>
        <w:t xml:space="preserve">Standards-Based • Blockchain-Assessed • Commercially Grounded</w:t>
      </w:r>
    </w:p>
    <w:p>
      <w:r>
        <w:br w:type="page"/>
      </w:r>
    </w:p>
    <w:p>
      <w:pPr>
        <w:pStyle w:val="Heading1"/>
        <w:spacing w:after="200" w:before="360"/>
      </w:pPr>
      <w:r>
        <w:rPr>
          <w:rFonts w:ascii="Arial" w:cs="Arial" w:eastAsia="Arial" w:hAnsi="Arial"/>
          <w:b/>
          <w:bCs/>
          <w:color w:val="1F4E79"/>
          <w:sz w:val="32"/>
          <w:szCs w:val="32"/>
        </w:rPr>
        <w:t xml:space="preserve">Methodology</w:t>
      </w:r>
    </w:p>
    <w:p>
      <w:pPr>
        <w:spacing w:after="120"/>
      </w:pPr>
      <w:r>
        <w:rPr>
          <w:rFonts w:ascii="Arial" w:cs="Arial" w:eastAsia="Arial" w:hAnsi="Arial"/>
          <w:color w:val="333333"/>
          <w:sz w:val="20"/>
          <w:szCs w:val="20"/>
        </w:rPr>
        <w:t xml:space="preserve">Each risk is mapped to an authoritative standard (GDPR, ISO, NIST, IEC, HL7, WHO, eIDAS, EU AI Act), assessed for blockchain applicability (genuine value vs. complexity overhead), and given a concrete mitigation path.</w:t>
      </w:r>
    </w:p>
    <w:p>
      <w:pPr>
        <w:spacing w:after="80"/>
      </w:pPr>
    </w:p>
    <w:p>
      <w:pPr>
        <w:spacing w:after="120"/>
      </w:pPr>
      <w:r>
        <w:rPr>
          <w:rFonts w:ascii="Arial" w:cs="Arial" w:eastAsia="Arial" w:hAnsi="Arial"/>
          <w:b/>
          <w:bCs/>
          <w:color w:val="1F4E79"/>
          <w:sz w:val="20"/>
          <w:szCs w:val="20"/>
        </w:rPr>
        <w:t xml:space="preserve">Blockchain Principle: </w:t>
      </w:r>
      <w:r>
        <w:rPr>
          <w:rFonts w:ascii="Arial" w:cs="Arial" w:eastAsia="Arial" w:hAnsi="Arial"/>
          <w:color w:val="333333"/>
          <w:sz w:val="20"/>
          <w:szCs w:val="20"/>
        </w:rPr>
        <w:t xml:space="preserve">Recommended only where it solves a trust problem that no centralised authority can — specifically, cross-organisational immutability and decentralised identity. Where it adds complexity without solving the core problem, it is explicitly excluded.</w:t>
      </w:r>
    </w:p>
    <w:p>
      <w:pPr>
        <w:spacing w:after="80"/>
      </w:pPr>
    </w:p>
    <w:p>
      <w:r>
        <w:br w:type="page"/>
      </w:r>
    </w:p>
    <w:p>
      <w:pPr>
        <w:pStyle w:val="Heading1"/>
        <w:spacing w:after="200" w:before="360"/>
      </w:pPr>
      <w:r>
        <w:rPr>
          <w:rFonts w:ascii="Arial" w:cs="Arial" w:eastAsia="Arial" w:hAnsi="Arial"/>
          <w:b/>
          <w:bCs/>
          <w:color w:val="1F4E79"/>
          <w:sz w:val="32"/>
          <w:szCs w:val="32"/>
        </w:rPr>
        <w:t xml:space="preserve">Capability 1 — Zero-Configuration Cross-Border Agent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200"/>
              <w:bottom w:type="dxa" w:w="100"/>
              <w:right w:type="dxa" w:w="200"/>
            </w:tcMar>
          </w:tcPr>
          <w:p>
            <w:r>
              <w:rPr>
                <w:rFonts w:ascii="Arial" w:cs="Arial" w:eastAsia="Arial" w:hAnsi="Arial"/>
                <w:b/>
                <w:bCs/>
                <w:color w:val="1F4E79"/>
                <w:sz w:val="20"/>
                <w:szCs w:val="20"/>
              </w:rPr>
              <w:t xml:space="preserve">Strategic Importance: </w:t>
            </w:r>
            <w:r>
              <w:rPr>
                <w:rFonts w:ascii="Arial" w:cs="Arial" w:eastAsia="Arial" w:hAnsi="Arial"/>
                <w:color w:val="333333"/>
                <w:sz w:val="20"/>
                <w:szCs w:val="20"/>
              </w:rPr>
              <w:t xml:space="preserve">Critical — Keystone capability. Without it, each repo is a point solution; with it, they become a platform.</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800"/>
        <w:gridCol w:w="346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Standard / Legal Basis</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Blockchain?</w:t>
            </w:r>
          </w:p>
        </w:tc>
        <w:tc>
          <w:tcPr>
            <w:tcW w:type="dxa" w:w="3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1.1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GDPR Art. 44-49 transfer restrictions require legal basis for each crossing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GDPR Art. 46(2)(c) SCCs; EU Commission Decision 2021/914; EU-US DPF Adequacy Decision 2023/1795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blockchain cannot create legal basis; transfer legitimacy is a legal instrument problem, not a technology problem.</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Implement a Transfer Impact Assessment (TIA) engine within GHARRA’s policy layer. For each cross-jurisdictional resolution: (a) check adequacy decision existence (Art. 45 lookup table); (b) verify SCCs between orgs (stored as signed DelegationAssertion attestations); (c) if neither, block crossing and return structured error with specific GDPR article. New TransferLegalBasisRule evaluated before SovereigntyRule. Accreditation: Engage DPA-recognised certification body under Art. 42 GDPR.</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1.2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Sovereign registries must be operated by entities recognised under national law</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EU eIDAS Regulation 910/2014; WHO GDHCN trust framework; national health authority mandates (HSE, NHS Digital, ONC)</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Yes — W3C DIDs v1.0 enable sovereign registries to assert identity without single root authority. DID-anchored registries verifiable independently.</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Each sovereign registry publishes a W3C DID document (e.g., did:web:gharra.hse.ie) anchored to Hyperledger Fabric or EBSI. DID document contains JWKS, service endpoints, and verifiable credential from national health authority. GHARRA root validates by resolving DID and verifying credential chain. Eliminates SPOF in root registry compromise. Implementation via EBSI conformance framework under eIDAS 2.0.</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Policy tag enforcement (phi_allowed, residency) is currently advisory — runtime enforcement gap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NIST SP 800-53 Rev. 5 AC-4; ISO 27701:2019 §7.4.5; IHE ATNA profile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runtime enforcement requires inline inspection at the network layer, not distributed consensus.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Deploy GHARRA Enforcement Proxy (sidecar/gateway): (a) intercepts Nexus POST /rpc/{agent_alias}; (b) re-validates X-Gharra-Record policy tags against payload; (c) enforces residency by comparing caller jurisdiction against tags; (d) logs decisions to TransparencyLedger with policy.enforced event type. Converts GHARRA from advisory-only to advisory-plus-enforcement. Aligned with IHE ATNA Secure Node requirements.</w:t>
            </w:r>
          </w:p>
        </w:tc>
      </w:tr>
    </w:tbl>
    <w:p>
      <w:r>
        <w:br w:type="page"/>
      </w:r>
    </w:p>
    <w:p>
      <w:pPr>
        <w:pStyle w:val="Heading1"/>
        <w:spacing w:after="200" w:before="360"/>
      </w:pPr>
      <w:r>
        <w:rPr>
          <w:rFonts w:ascii="Arial" w:cs="Arial" w:eastAsia="Arial" w:hAnsi="Arial"/>
          <w:b/>
          <w:bCs/>
          <w:color w:val="1F4E79"/>
          <w:sz w:val="32"/>
          <w:szCs w:val="32"/>
        </w:rPr>
        <w:t xml:space="preserve">Capability 2 — Policy-Aware Intelligent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200"/>
              <w:bottom w:type="dxa" w:w="100"/>
              <w:right w:type="dxa" w:w="200"/>
            </w:tcMar>
          </w:tcPr>
          <w:p>
            <w:r>
              <w:rPr>
                <w:rFonts w:ascii="Arial" w:cs="Arial" w:eastAsia="Arial" w:hAnsi="Arial"/>
                <w:b/>
                <w:bCs/>
                <w:color w:val="1F4E79"/>
                <w:sz w:val="20"/>
                <w:szCs w:val="20"/>
              </w:rPr>
              <w:t xml:space="preserve">Strategic Importance: </w:t>
            </w:r>
            <w:r>
              <w:rPr>
                <w:rFonts w:ascii="Arial" w:cs="Arial" w:eastAsia="Arial" w:hAnsi="Arial"/>
                <w:color w:val="333333"/>
                <w:sz w:val="20"/>
                <w:szCs w:val="20"/>
              </w:rPr>
              <w:t xml:space="preserve">High — Regulatory compliance is the #1 barrier to healthcare AI adoption. Solving it at the infrastructure layer is a platform play.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800"/>
        <w:gridCol w:w="346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Standard / Legal Basis</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Blockchain?</w:t>
            </w:r>
          </w:p>
        </w:tc>
        <w:tc>
          <w:tcPr>
            <w:tcW w:type="dxa" w:w="3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Policy engine rules must be legally validated per jurisdiction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ISO/IEC 27701:2019; GDPR Art. 35 DPIA; HIPAA §164.308(a)(8); national DPA guidance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legal validation is a human governance process; no ledger technology substitutes for qualified legal review.</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Establish Policy Rule Governance Board per sovereign jurisdiction. Each PolicyEngine rule treated as controlled document under ISO/IEC 27701 Annex A: version control, legal author attribution, jurisdictional scope, review cycle (min. annual). Rules stored as versioned Attestation objects signed by DPA-recognised counsel. Complete DPIA under Art. 35 before sovereign registry go-live.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2.2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Emergency break glass override needs clear governance and audit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ISO 22600-2:2014; HL7 RBAC Healthcare Permission Catalogue; NIST SP 800-53 AC-6(1)</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Yes (partial) — break-glass events are high-consequence, cross-organisational. Immutable record valuable for post-incident review and liability allocation.</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Implement break-glass as first-class GHARRA event type (policy.break_glass): mandatory fields (clinician identity, patient context, justification code from ISO 22600 Annex B), automatic SSE escalation alerts, time-limited 4-hour TTL token. Blockchain anchor: entry_hash anchored to OpenTimestamps/EBSI for third-party temporal proof preventing backdated entries.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2.3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False negatives in PHI scanning could route sensitive data to non-compliant agents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HIPAA §164.312(e)(1); NIST SP 800-188; ISO 25237:2017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PHI detection is a classification problem requiring NLP/pattern matching.</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Multi-layer PHI detection pipeline: (a) Layer 1 — Structural keyword scan as fast-reject; (b) Layer 2 — Healthcare NER model (i2b2/n2c2 fine-tuned, &gt;95% recall); (c) Layer 3 — Format regex for structured identifiers (SSN, NHS number, MBI); (d) Fail-closed default: below-threshold confidence classified as PHI-containing. Aligned with NIST SP 800-188 de-identification scoring.</w:t>
            </w:r>
          </w:p>
        </w:tc>
      </w:tr>
    </w:tbl>
    <w:p>
      <w:r>
        <w:br w:type="page"/>
      </w:r>
    </w:p>
    <w:p>
      <w:pPr>
        <w:pStyle w:val="Heading1"/>
        <w:spacing w:after="200" w:before="360"/>
      </w:pPr>
      <w:r>
        <w:rPr>
          <w:rFonts w:ascii="Arial" w:cs="Arial" w:eastAsia="Arial" w:hAnsi="Arial"/>
          <w:b/>
          <w:bCs/>
          <w:color w:val="1F4E79"/>
          <w:sz w:val="32"/>
          <w:szCs w:val="32"/>
        </w:rPr>
        <w:t xml:space="preserve">Capability 3 — Self-Healing Clinical Agent 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200"/>
              <w:bottom w:type="dxa" w:w="100"/>
              <w:right w:type="dxa" w:w="200"/>
            </w:tcMar>
          </w:tcPr>
          <w:p>
            <w:r>
              <w:rPr>
                <w:rFonts w:ascii="Arial" w:cs="Arial" w:eastAsia="Arial" w:hAnsi="Arial"/>
                <w:b/>
                <w:bCs/>
                <w:color w:val="1F4E79"/>
                <w:sz w:val="20"/>
                <w:szCs w:val="20"/>
              </w:rPr>
              <w:t xml:space="preserve">Strategic Importance: </w:t>
            </w:r>
            <w:r>
              <w:rPr>
                <w:rFonts w:ascii="Arial" w:cs="Arial" w:eastAsia="Arial" w:hAnsi="Arial"/>
                <w:color w:val="333333"/>
                <w:sz w:val="20"/>
                <w:szCs w:val="20"/>
              </w:rPr>
              <w:t xml:space="preserve">High — Patient safety requirement. Regulators will increasingly mandate failover for clinical AI.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800"/>
        <w:gridCol w:w="346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Standard / Legal Basis</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Blockchain?</w:t>
            </w:r>
          </w:p>
        </w:tc>
        <w:tc>
          <w:tcPr>
            <w:tcW w:type="dxa" w:w="3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3.1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Clinical handoff rules need validation by medical informaticists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IEC 62304:2006+A1:2015; ISO 14971:2019; FDA SaMD guidance (2017); EU MDR 2017/745 Annex I</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clinical validation requires human expert review and formal risk analysis.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Treat clinical handoff rules as IEC 62304 Class B software. Requires: (a) formal software requirements spec per §5.2; (b) hazard analysis per ISO 14971; (c) validation by min. 3 clinical informaticists per jurisdiction against national guidelines (NICE UK, USPSTF US, HIQA IE); (d) traceability matrix linking rules to evidence sources. Establish Clinical Safety Officer role per NHS DCB0129.</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3.2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Stream cursor expiration creates window where resume is impossible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ISO 25010:2023 (Reliability, Recoverability); IEC 62443-3-3 SR 7.1; NIST SP 800-184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distributed systems durability problem solved by persistent storage.</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Implement durable event sourcing: (a) TaskEvents persisted to append-only store (PostgreSQL JSONB or Kafka, min 72h retention); (b) new tasks/replay RPC method reconstructs state from event store; (c) workflow_runner.py retry path: cursor_expired triggers tasks/replay + tasks/resubscribe; (d) cursor TTL minimum = longest expected clinical workflow (default 24h). Aligned with ISO 25010 recoverability.</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3.3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Replacement agent may have different clinical reasoning — requires equivalence validation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ISO/TR 24291:2021; FDA SaMD Pre-Specifications and Algorithm Change Protocol (2019); EU AI Act 2024/1689 Art. 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equivalence measured by clinical outcome concordance, not cryptographic proof.</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Implement Agent Equivalence Registry in GHARRA: (a) agents register with clinical_equivalence_class tag; (b) concordance established via standardised test datasets (CheXpert, MIMIC-IV); (c) metrics stored as Attestation objects; (d) failover selects only same-class agents with concordance ≥95%; (e) aligned with EU AI Act Art. 9 and FDA Algorithm Change Protocol.</w:t>
            </w:r>
          </w:p>
        </w:tc>
      </w:tr>
    </w:tbl>
    <w:p>
      <w:r>
        <w:br w:type="page"/>
      </w:r>
    </w:p>
    <w:p>
      <w:pPr>
        <w:pStyle w:val="Heading1"/>
        <w:spacing w:after="200" w:before="360"/>
      </w:pPr>
      <w:r>
        <w:rPr>
          <w:rFonts w:ascii="Arial" w:cs="Arial" w:eastAsia="Arial" w:hAnsi="Arial"/>
          <w:b/>
          <w:bCs/>
          <w:color w:val="1F4E79"/>
          <w:sz w:val="32"/>
          <w:szCs w:val="32"/>
        </w:rPr>
        <w:t xml:space="preserve">Capability 4 — National-Scale Capacity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200"/>
              <w:bottom w:type="dxa" w:w="100"/>
              <w:right w:type="dxa" w:w="200"/>
            </w:tcMar>
          </w:tcPr>
          <w:p>
            <w:r>
              <w:rPr>
                <w:rFonts w:ascii="Arial" w:cs="Arial" w:eastAsia="Arial" w:hAnsi="Arial"/>
                <w:b/>
                <w:bCs/>
                <w:color w:val="1F4E79"/>
                <w:sz w:val="20"/>
                <w:szCs w:val="20"/>
              </w:rPr>
              <w:t xml:space="preserve">Strategic Importance: </w:t>
            </w:r>
            <w:r>
              <w:rPr>
                <w:rFonts w:ascii="Arial" w:cs="Arial" w:eastAsia="Arial" w:hAnsi="Arial"/>
                <w:color w:val="333333"/>
                <w:sz w:val="20"/>
                <w:szCs w:val="20"/>
              </w:rPr>
              <w:t xml:space="preserve">Medium-High — Differentiator for enterprise sales. National health systems won’t buy without capacity evidence.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800"/>
        <w:gridCol w:w="346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Standard / Legal Basis</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Blockchain?</w:t>
            </w:r>
          </w:p>
        </w:tc>
        <w:tc>
          <w:tcPr>
            <w:tcW w:type="dxa" w:w="3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Synthetic workloads may not reflect real clinical complexity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ISO/TS 82304-2:2021; NHS DTAC; HL7 Synthea module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workload fidelity is a data science problem.</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Replace 15 chief complaints with Synthea-generated patient populations: (a) Synthea produces clinically realistic records with comorbidities and longitudinal pathways; (b) map Synthea modules to agent roles via SNOMED CT; (c) validate against published epidemiological distributions (HSE HIPE, NHS HES); (d) publish dataset as open benchmark. Aligned with ISO/TS 82304-2 §5.3.</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4.2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Docker-local performance differs from production distributed deployment</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ISO/IEC 25010:2023 §4.2.2; NIST SP 800-145; NHS Cloud Security Good Practice Guide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infrastructure benchmarking has no blockchain use case.</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Extend Integration Engine with cloud deployment profile: (a) Terraform/Pulumi modules for managed Kubernetes (EKS, AKS, GKE); (b) run scale_simulation.py national profile (100K patients) in cloud with explicit caveats; (c) deployment_context field in SimulationReport (local, cloud_single_region, cloud_multi_region). Validated against ISO/IEC 25010 capacity requirements.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4.3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Simulation results could be misused to over-promise capacity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ISO/IEC 17025:2017; ASA Ethical Guidelines (2022); NHS England Standard Contract</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Yes (modest) — anchoring simulation reports to timestamped ledger prevents retroactive modification.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Treat simulation reports as controlled test evidence: (a) each SimulationReport hashed and recorded in TransparencyLedger as benchmark.published; (b) mandatory caveats section; (c) anchor hashes to public timestamping service; (d) contracts reference specific report hashes. Aligned with ISO/IEC 17025 measurement uncertainty principles.</w:t>
            </w:r>
          </w:p>
        </w:tc>
      </w:tr>
    </w:tbl>
    <w:p>
      <w:r>
        <w:br w:type="page"/>
      </w:r>
    </w:p>
    <w:p>
      <w:pPr>
        <w:pStyle w:val="Heading1"/>
        <w:spacing w:after="200" w:before="360"/>
      </w:pPr>
      <w:r>
        <w:rPr>
          <w:rFonts w:ascii="Arial" w:cs="Arial" w:eastAsia="Arial" w:hAnsi="Arial"/>
          <w:b/>
          <w:bCs/>
          <w:color w:val="1F4E79"/>
          <w:sz w:val="32"/>
          <w:szCs w:val="32"/>
        </w:rPr>
        <w:t xml:space="preserve">Capability 5 — Tamper-Evident Compliance Audit Trail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200"/>
              <w:bottom w:type="dxa" w:w="100"/>
              <w:right w:type="dxa" w:w="200"/>
            </w:tcMar>
          </w:tcPr>
          <w:p>
            <w:r>
              <w:rPr>
                <w:rFonts w:ascii="Arial" w:cs="Arial" w:eastAsia="Arial" w:hAnsi="Arial"/>
                <w:b/>
                <w:bCs/>
                <w:color w:val="1F4E79"/>
                <w:sz w:val="20"/>
                <w:szCs w:val="20"/>
              </w:rPr>
              <w:t xml:space="preserve">Strategic Importance: </w:t>
            </w:r>
            <w:r>
              <w:rPr>
                <w:rFonts w:ascii="Arial" w:cs="Arial" w:eastAsia="Arial" w:hAnsi="Arial"/>
                <w:color w:val="333333"/>
                <w:sz w:val="20"/>
                <w:szCs w:val="20"/>
              </w:rPr>
              <w:t xml:space="preserve">High — Regulatory moat. Once regulators depend on your audit trail, switching costs become enormous.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800"/>
        <w:gridCol w:w="346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Standard / Legal Basis</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Blockchain?</w:t>
            </w:r>
          </w:p>
        </w:tc>
        <w:tc>
          <w:tcPr>
            <w:tcW w:type="dxa" w:w="3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5.1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Ledger integrity depends on infrastructure security — compromised storage breaks the chain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NIST SP 800-53 Rev. 5 AU-10; ISO 27001:2022 A.8.15; eIDAS Art. 41-42</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Yes — STRONG value. Canonical blockchain use case. Multi-party distributed consensus eliminates single point of compromise.</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Deploy TransparencyLedger on Hyperledger Fabric (used by FDA DSCSA pilot, Pfizer/McKesson): (a) each sovereign registry operates peer node; (b) existing entry_hash/prev_hash preserved as application-level integrity; blockchain adds Byzantine fault tolerance; (c) smart contracts enforce append-only invariant; (d) periodic Merkle tree root anchoring to public blockchain (Ethereum/Bitcoin via OpenTimestamps). Satisfies eIDAS Art. 41 and NIST AU-10 at highest assurance.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5.2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Cross-organisational correlation requires agreement on ID formats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HL7 FHIR R4 NamingSystem; W3C DID Core 1.0; IHE PIXm/PDQm; ISO 17442 (LEI)</w:t>
            </w:r>
          </w:p>
        </w:tc>
        <w:tc>
          <w:tcPr>
            <w:tcW w:type="dxa" w:w="18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Yes — complementary to 1.2. DIDs provide universal self-sovereign identifier format.</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Standardise three identifier layers: (a) Agent identity: W3C DIDs (did:web:triage.hse.ie); (b) Organisation identity: ISO 17442 LEIs (globally unique, regulated, already mandatory in financial services); (c) Correlation identity: UUID v7 (RFC 9562, time-sortable). Publish identifier spec as GHARRA normative document. No bilateral negotiation needed.</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5.3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GDPR right to erasure conflicts with append-only ledger design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GDPR Art. 17; EDPB Guidelines 05/2014; CNIL Blockchain+GDPR guidance (2018); EU Blockchain Observatory report</w:t>
            </w:r>
          </w:p>
        </w:tc>
        <w:tc>
          <w:tcPr>
            <w:tcW w:type="dxa" w:w="18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Addressed directly — blockchain makes risk more acute but solvable via CNIL-endorsed pattern.</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Apply CNIL off-chain personal data pattern: (a) ledger stores only payload_hash (SHA-256) and anonymised actor IDs — never personal data directly; (b) actual payloads in separate erasable data store; (c) Art. 17 request deletes payload, ledger entry becomes orphaned hash proving event occurred without revealing content; (d) actor field uses ISO 25237 pseudonymised identifiers with erasable mapping table. Document in DPIA, submit for Art. 36 prior consultation if high-risk.</w:t>
            </w:r>
          </w:p>
        </w:tc>
      </w:tr>
    </w:tbl>
    <w:p>
      <w:r>
        <w:br w:type="page"/>
      </w:r>
    </w:p>
    <w:p>
      <w:pPr>
        <w:pStyle w:val="Heading1"/>
        <w:spacing w:after="200" w:before="360"/>
      </w:pPr>
      <w:r>
        <w:rPr>
          <w:rFonts w:ascii="Arial" w:cs="Arial" w:eastAsia="Arial" w:hAnsi="Arial"/>
          <w:b/>
          <w:bCs/>
          <w:color w:val="1F4E79"/>
          <w:sz w:val="32"/>
          <w:szCs w:val="32"/>
        </w:rPr>
        <w:t xml:space="preserve">Capability 6 — Persona-Adaptive Clinical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2"/>
              <w:bottom w:val="single" w:color="2E75B6" w:sz="3"/>
              <w:right w:val="single" w:color="2E75B6" w:sz="3"/>
            </w:tcBorders>
            <w:shd w:fill="D6E4F0" w:val="clear"/>
            <w:tcMar>
              <w:top w:type="dxa" w:w="100"/>
              <w:left w:type="dxa" w:w="200"/>
              <w:bottom w:type="dxa" w:w="100"/>
              <w:right w:type="dxa" w:w="200"/>
            </w:tcMar>
          </w:tcPr>
          <w:p>
            <w:r>
              <w:rPr>
                <w:rFonts w:ascii="Arial" w:cs="Arial" w:eastAsia="Arial" w:hAnsi="Arial"/>
                <w:b/>
                <w:bCs/>
                <w:color w:val="1F4E79"/>
                <w:sz w:val="20"/>
                <w:szCs w:val="20"/>
              </w:rPr>
              <w:t xml:space="preserve">Strategic Importance: </w:t>
            </w:r>
            <w:r>
              <w:rPr>
                <w:rFonts w:ascii="Arial" w:cs="Arial" w:eastAsia="Arial" w:hAnsi="Arial"/>
                <w:color w:val="333333"/>
                <w:sz w:val="20"/>
                <w:szCs w:val="20"/>
              </w:rPr>
              <w:t xml:space="preserve">Medium — Differentiator for international expansion. Not must-have initially, critical for scale.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1800"/>
        <w:gridCol w:w="1800"/>
        <w:gridCol w:w="3460"/>
      </w:tblGrid>
      <w:tr>
        <w:tc>
          <w:tcPr>
            <w:tcW w:type="dxa" w:w="5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Standard / Legal Basis</w:t>
            </w:r>
          </w:p>
        </w:tc>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Blockchain?</w:t>
            </w:r>
          </w:p>
        </w:tc>
        <w:tc>
          <w:tcPr>
            <w:tcW w:type="dxa" w:w="34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Mitigation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6.1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Clinical framework selection logic needs validation by medical education experts per country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WFME Global Standards (2015/2023); GMC Good Medical Practice (UK); ACGME Requirements (US)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medical education validation is a credentialing and peer review process.</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Establish Clinical Framework Validation Programme: (a) min. 5-member expert panel per country (WFME-aligned); (b) each framework validated against national clinical guidelines (NICE CKS UK, USPSTF US); (c) selection logic documented as IEC 62304 Class A clinical decision support rule; (d) validation stored as GHARRA Attestation objects with annual review cycle.</w:t>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6.2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Persona-based RBAC must not create care quality gaps between roles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WHO Framework for Interprofessional Education (2010); EU AI Act 2024/1689 Art. 10; ISO/TR 24291:2021 §6.3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equity in care quality is a design and monitoring concern.</w:t>
            </w:r>
          </w:p>
        </w:tc>
        <w:tc>
          <w:tcPr>
            <w:tcW w:type="dxa" w:w="34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Implement equity monitoring: (a) minimum capability baseline for all personas — RBAC restricts admin scope, not clinical reasoning quality; (b) persona-stratified outcome metrics in simulation; (c) EU AI Act Art. 10 bias testing: same scenarios across all 68 personas, flag &gt;2σ outcome variations; (d) publish equity reports with simulation benchmarks.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6.3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68 personas is a start; production needs hundreds — maintenance burden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iCs/>
                <w:color w:val="333333"/>
                <w:sz w:val="17"/>
                <w:szCs w:val="17"/>
              </w:rPr>
              <w:t xml:space="preserve">ISO 21001:2018; HL7 FHIR PractitionerRole; ISCO-08 (ILO International Classification of Occupations)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No — persona management is a content standardisation problem.</w:t>
            </w:r>
          </w:p>
        </w:tc>
        <w:tc>
          <w:tcPr>
            <w:tcW w:type="dxa" w:w="34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Composable persona architecture: (a) refactor from monolithic definitions to ISCO-08 occupation code + country scope-of-practice + IAM group; (b) ISCO-08 provides ~430 health occupation codes maintained by ILO; (c) scope from national registrar APIs (GMC UK, state medical boards US); (d) new countries added by mapping to ISCO-08 — personas generated, not hand-crafted. Reduces maintenance from O(personas×countries) to O(countries).</w:t>
            </w:r>
          </w:p>
        </w:tc>
      </w:tr>
    </w:tbl>
    <w:p>
      <w:r>
        <w:br w:type="page"/>
      </w:r>
    </w:p>
    <w:p>
      <w:pPr>
        <w:pStyle w:val="Heading1"/>
        <w:spacing w:after="200" w:before="360"/>
      </w:pPr>
      <w:r>
        <w:rPr>
          <w:rFonts w:ascii="Arial" w:cs="Arial" w:eastAsia="Arial" w:hAnsi="Arial"/>
          <w:b/>
          <w:bCs/>
          <w:color w:val="1F4E79"/>
          <w:sz w:val="32"/>
          <w:szCs w:val="32"/>
        </w:rPr>
        <w:t xml:space="preserve">Blockchain Decision Summary</w:t>
      </w:r>
    </w:p>
    <w:p>
      <w:pPr>
        <w:spacing w:after="120"/>
      </w:pPr>
      <w:r>
        <w:rPr>
          <w:rFonts w:ascii="Arial" w:cs="Arial" w:eastAsia="Arial" w:hAnsi="Arial"/>
          <w:b/>
          <w:bCs/>
          <w:color w:val="1F4E79"/>
          <w:sz w:val="20"/>
          <w:szCs w:val="20"/>
        </w:rPr>
        <w:t xml:space="preserve">Score: 5 genuine blockchain use cases out of 18 risks</w:t>
      </w:r>
      <w:r>
        <w:rPr>
          <w:rFonts w:ascii="Arial" w:cs="Arial" w:eastAsia="Arial" w:hAnsi="Arial"/>
          <w:color w:val="333333"/>
          <w:sz w:val="20"/>
          <w:szCs w:val="20"/>
        </w:rPr>
        <w:t xml:space="preserve"> — targeted, defensible deployment rather than blockchain-for-everything. The five cases share a common thread: </w:t>
      </w:r>
      <w:r>
        <w:rPr>
          <w:rFonts w:ascii="Arial" w:cs="Arial" w:eastAsia="Arial" w:hAnsi="Arial"/>
          <w:b/>
          <w:bCs/>
          <w:color w:val="333333"/>
          <w:sz w:val="20"/>
          <w:szCs w:val="20"/>
        </w:rPr>
        <w:t xml:space="preserve">cross-organisational trust where no single party should be the sole authority.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Use Case</w:t>
            </w:r>
          </w:p>
        </w:tc>
        <w:tc>
          <w:tcPr>
            <w:tcW w:type="dxa" w:w="26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Verdict</w:t>
            </w:r>
          </w:p>
        </w:tc>
        <w:tc>
          <w:tcPr>
            <w:tcW w:type="dxa" w:w="35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Rationale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Cross-border transfer legal basis (1.1)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Legal instruments, not technology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Sovereign registry identity (1.2)</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Yes — DIDs on EBSI</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Decentralised identity eliminates root-of-trust SPOF</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Runtime policy enforcement (1.3)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Inline inspection, not consensus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Policy rule legal validation (2.1)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Human governance process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Break-glass audit anchoring (2.2)</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Yes — timestamp anchoring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Third-party temporal proof for high-consequence events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PHI detection improvement (2.3)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NLP/pattern matching problem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Clinical handoff validation (3.1)</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Domain expertise, not integrity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Stream cursor durability (3.2)</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Persistent storage, not consensus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Agent equivalence (3.3)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Clinical concordance measurement</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Synthetic workload fidelity (4.1)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Data science problem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Cloud benchmarking (4.2)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Infrastructure testing</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Benchmark tamper-proofing (4.3)</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Yes — timestamp anchoring</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Prevents retroactive modification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Ledger cross-org integrity (5.1)</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Yes — Hyperledger Fabric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Canonical: multi-party tamper evidence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Cross-org ID format (5.2)</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Yes — W3C DIDs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Universal self-sovereign identifiers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GDPR erasure vs. append-only (5.3)</w:t>
            </w:r>
          </w:p>
        </w:tc>
        <w:tc>
          <w:tcPr>
            <w:tcW w:type="dxa" w:w="26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Addressed (CNIL pattern)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Off-chain personal data with on-chain hashes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Clinical framework validation (6.1)</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Peer review process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Persona equity monitoring (6.2)</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Design and metrics problem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Persona scale/maintenance (6.3)</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Standardisation (ISCO-08)</w:t>
            </w:r>
          </w:p>
        </w:tc>
      </w:tr>
    </w:tbl>
    <w:p>
      <w:r>
        <w:br w:type="page"/>
      </w:r>
    </w:p>
    <w:p>
      <w:pPr>
        <w:pStyle w:val="Heading1"/>
        <w:spacing w:after="200" w:before="360"/>
      </w:pPr>
      <w:r>
        <w:rPr>
          <w:rFonts w:ascii="Arial" w:cs="Arial" w:eastAsia="Arial" w:hAnsi="Arial"/>
          <w:b/>
          <w:bCs/>
          <w:color w:val="1F4E79"/>
          <w:sz w:val="32"/>
          <w:szCs w:val="32"/>
        </w:rPr>
        <w:t xml:space="preserve">Implementation Priority</w:t>
      </w:r>
    </w:p>
    <w:p>
      <w:pPr>
        <w:spacing w:after="120"/>
      </w:pPr>
      <w:r>
        <w:rPr>
          <w:rFonts w:ascii="Arial" w:cs="Arial" w:eastAsia="Arial" w:hAnsi="Arial"/>
          <w:color w:val="333333"/>
          <w:sz w:val="20"/>
          <w:szCs w:val="20"/>
        </w:rPr>
        <w:t xml:space="preserve">Given the strategic recommendation (Capabilities 1 + 2 + 5 as the platform core):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Phase</w:t>
            </w:r>
          </w:p>
        </w:tc>
        <w:tc>
          <w:tcPr>
            <w:tcW w:type="dxa" w:w="280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Gate Criterion</w:t>
            </w:r>
          </w:p>
        </w:tc>
        <w:tc>
          <w:tcPr>
            <w:tcW w:type="dxa" w:w="4760"/>
            <w:tcBorders>
              <w:top w:val="single" w:color="CCCCCC" w:sz="1"/>
              <w:left w:val="single" w:color="CCCCCC" w:sz="1"/>
              <w:bottom w:val="single" w:color="CCCCCC" w:sz="1"/>
              <w:right w:val="single" w:color="CCCCCC" w:sz="1"/>
            </w:tcBorders>
            <w:shd w:fill="1F4E79"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Risk Mitigations</w:t>
            </w:r>
          </w:p>
        </w:tc>
      </w:tr>
      <w:tr>
        <w:tc>
          <w:tcPr>
            <w:tcW w:type="dxa" w:w="1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1. Immediate</w:t>
            </w:r>
          </w:p>
        </w:tc>
        <w:tc>
          <w:tcPr>
            <w:tcW w:type="dxa" w:w="2800"/>
            <w:tcBorders>
              <w:top w:val="single" w:color="CCCCCC" w:sz="1"/>
              <w:left w:val="single" w:color="CCCCCC" w:sz="1"/>
              <w:bottom w:val="single" w:color="CCCCCC" w:sz="1"/>
              <w:right w:val="single" w:color="CCCCCC" w:sz="1"/>
            </w:tcBorders>
            <w:shd w:fill="FCE4EC"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Blocks go-to-market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1.1 (TIA engine), 1.3 (enforcement proxy), 2.3 (PHI detection), 5.3 (GDPR erasure pattern)</w:t>
            </w:r>
          </w:p>
        </w:tc>
      </w:tr>
      <w:tr>
        <w:tc>
          <w:tcPr>
            <w:tcW w:type="dxa" w:w="18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2. Pre-Launch</w:t>
            </w:r>
          </w:p>
        </w:tc>
        <w:tc>
          <w:tcPr>
            <w:tcW w:type="dxa" w:w="28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Required for first sovereign registry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1.2 (DID-based sovereign identity), 2.1 (policy governance board), 5.1 (distributed ledger), 5.2 (identifier standards)</w:t>
            </w:r>
          </w:p>
        </w:tc>
      </w:tr>
      <w:tr>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3. Post-Launch</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Required for clinical use cases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3.1 (IEC 62304 classification), 3.2 (durable event sourcing), 3.3 (equivalence registry), 2.2 (break-glass governance)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bCs/>
                <w:i w:val="false"/>
                <w:iCs w:val="false"/>
                <w:color w:val="333333"/>
                <w:sz w:val="17"/>
                <w:szCs w:val="17"/>
              </w:rPr>
              <w:t xml:space="preserve">4. Scale Phase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Required for international expansion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b w:val="false"/>
                <w:bCs w:val="false"/>
                <w:i w:val="false"/>
                <w:iCs w:val="false"/>
                <w:color w:val="333333"/>
                <w:sz w:val="17"/>
                <w:szCs w:val="17"/>
              </w:rPr>
              <w:t xml:space="preserve">6.1 (framework validation), 6.2 (equity monitoring), 6.3 (ISCO-08 personas), 4.1–4.3 (simulation maturity)</w:t>
            </w:r>
          </w:p>
        </w:tc>
      </w:tr>
    </w:tbl>
    <w:p>
      <w:pPr>
        <w:spacing w:after="80"/>
      </w:pPr>
    </w:p>
    <w:p>
      <w:pPr>
        <w:spacing w:after="80"/>
      </w:pPr>
    </w:p>
    <w:p>
      <w:pPr>
        <w:pStyle w:val="Heading2"/>
        <w:spacing w:after="160" w:before="280"/>
      </w:pPr>
      <w:r>
        <w:rPr>
          <w:rFonts w:ascii="Arial" w:cs="Arial" w:eastAsia="Arial" w:hAnsi="Arial"/>
          <w:b/>
          <w:bCs/>
          <w:color w:val="2E75B6"/>
          <w:sz w:val="26"/>
          <w:szCs w:val="26"/>
        </w:rPr>
        <w:t xml:space="preserve">Key Standards Referenced</w:t>
      </w:r>
    </w:p>
    <w:p>
      <w:pPr>
        <w:pStyle w:val="ListParagraph"/>
        <w:numPr>
          <w:ilvl w:val="0"/>
          <w:numId w:val="2"/>
        </w:numPr>
        <w:spacing w:after="60"/>
      </w:pPr>
      <w:r>
        <w:rPr>
          <w:rFonts w:ascii="Arial" w:cs="Arial" w:eastAsia="Arial" w:hAnsi="Arial"/>
          <w:color w:val="333333"/>
          <w:sz w:val="20"/>
          <w:szCs w:val="20"/>
        </w:rPr>
        <w:t xml:space="preserve">GDPR (EU) 2016/679 — Articles 17, 35, 42, 44-49</w:t>
      </w:r>
    </w:p>
    <w:p>
      <w:pPr>
        <w:pStyle w:val="ListParagraph"/>
        <w:numPr>
          <w:ilvl w:val="0"/>
          <w:numId w:val="2"/>
        </w:numPr>
        <w:spacing w:after="60"/>
      </w:pPr>
      <w:r>
        <w:rPr>
          <w:rFonts w:ascii="Arial" w:cs="Arial" w:eastAsia="Arial" w:hAnsi="Arial"/>
          <w:color w:val="333333"/>
          <w:sz w:val="20"/>
          <w:szCs w:val="20"/>
        </w:rPr>
        <w:t xml:space="preserve">EU eIDAS Regulation 910/2014 — Articles 41-42 (Electronic Timestamps &amp; Seals)</w:t>
      </w:r>
    </w:p>
    <w:p>
      <w:pPr>
        <w:pStyle w:val="ListParagraph"/>
        <w:numPr>
          <w:ilvl w:val="0"/>
          <w:numId w:val="2"/>
        </w:numPr>
        <w:spacing w:after="60"/>
      </w:pPr>
      <w:r>
        <w:rPr>
          <w:rFonts w:ascii="Arial" w:cs="Arial" w:eastAsia="Arial" w:hAnsi="Arial"/>
          <w:color w:val="333333"/>
          <w:sz w:val="20"/>
          <w:szCs w:val="20"/>
        </w:rPr>
        <w:t xml:space="preserve">EU AI Act 2024/1689 — Articles 9-10 (Risk Management, Data Governance)</w:t>
      </w:r>
    </w:p>
    <w:p>
      <w:pPr>
        <w:pStyle w:val="ListParagraph"/>
        <w:numPr>
          <w:ilvl w:val="0"/>
          <w:numId w:val="2"/>
        </w:numPr>
        <w:spacing w:after="60"/>
      </w:pPr>
      <w:r>
        <w:rPr>
          <w:rFonts w:ascii="Arial" w:cs="Arial" w:eastAsia="Arial" w:hAnsi="Arial"/>
          <w:color w:val="333333"/>
          <w:sz w:val="20"/>
          <w:szCs w:val="20"/>
        </w:rPr>
        <w:t xml:space="preserve">EU MDR 2017/745 — Annex I (Medical Device Software)</w:t>
      </w:r>
    </w:p>
    <w:p>
      <w:pPr>
        <w:pStyle w:val="ListParagraph"/>
        <w:numPr>
          <w:ilvl w:val="0"/>
          <w:numId w:val="2"/>
        </w:numPr>
        <w:spacing w:after="60"/>
      </w:pPr>
      <w:r>
        <w:rPr>
          <w:rFonts w:ascii="Arial" w:cs="Arial" w:eastAsia="Arial" w:hAnsi="Arial"/>
          <w:color w:val="333333"/>
          <w:sz w:val="20"/>
          <w:szCs w:val="20"/>
        </w:rPr>
        <w:t xml:space="preserve">HIPAA — §164.308(a)(8), §164.312(e)(1)</w:t>
      </w:r>
    </w:p>
    <w:p>
      <w:pPr>
        <w:pStyle w:val="ListParagraph"/>
        <w:numPr>
          <w:ilvl w:val="0"/>
          <w:numId w:val="2"/>
        </w:numPr>
        <w:spacing w:after="60"/>
      </w:pPr>
      <w:r>
        <w:rPr>
          <w:rFonts w:ascii="Arial" w:cs="Arial" w:eastAsia="Arial" w:hAnsi="Arial"/>
          <w:color w:val="333333"/>
          <w:sz w:val="20"/>
          <w:szCs w:val="20"/>
        </w:rPr>
        <w:t xml:space="preserve">ISO/IEC 27701:2019 — Privacy Information Management</w:t>
      </w:r>
    </w:p>
    <w:p>
      <w:pPr>
        <w:pStyle w:val="ListParagraph"/>
        <w:numPr>
          <w:ilvl w:val="0"/>
          <w:numId w:val="2"/>
        </w:numPr>
        <w:spacing w:after="60"/>
      </w:pPr>
      <w:r>
        <w:rPr>
          <w:rFonts w:ascii="Arial" w:cs="Arial" w:eastAsia="Arial" w:hAnsi="Arial"/>
          <w:color w:val="333333"/>
          <w:sz w:val="20"/>
          <w:szCs w:val="20"/>
        </w:rPr>
        <w:t xml:space="preserve">ISO 27001:2022 — Information Security (A.8.15 Logging)</w:t>
      </w:r>
    </w:p>
    <w:p>
      <w:pPr>
        <w:pStyle w:val="ListParagraph"/>
        <w:numPr>
          <w:ilvl w:val="0"/>
          <w:numId w:val="2"/>
        </w:numPr>
        <w:spacing w:after="60"/>
      </w:pPr>
      <w:r>
        <w:rPr>
          <w:rFonts w:ascii="Arial" w:cs="Arial" w:eastAsia="Arial" w:hAnsi="Arial"/>
          <w:color w:val="333333"/>
          <w:sz w:val="20"/>
          <w:szCs w:val="20"/>
        </w:rPr>
        <w:t xml:space="preserve">ISO 14971:2019 — Risk Management for Medical Devices</w:t>
      </w:r>
    </w:p>
    <w:p>
      <w:pPr>
        <w:pStyle w:val="ListParagraph"/>
        <w:numPr>
          <w:ilvl w:val="0"/>
          <w:numId w:val="2"/>
        </w:numPr>
        <w:spacing w:after="60"/>
      </w:pPr>
      <w:r>
        <w:rPr>
          <w:rFonts w:ascii="Arial" w:cs="Arial" w:eastAsia="Arial" w:hAnsi="Arial"/>
          <w:color w:val="333333"/>
          <w:sz w:val="20"/>
          <w:szCs w:val="20"/>
        </w:rPr>
        <w:t xml:space="preserve">ISO 25237:2017 — Health Informatics Pseudonymisation</w:t>
      </w:r>
    </w:p>
    <w:p>
      <w:pPr>
        <w:pStyle w:val="ListParagraph"/>
        <w:numPr>
          <w:ilvl w:val="0"/>
          <w:numId w:val="2"/>
        </w:numPr>
        <w:spacing w:after="60"/>
      </w:pPr>
      <w:r>
        <w:rPr>
          <w:rFonts w:ascii="Arial" w:cs="Arial" w:eastAsia="Arial" w:hAnsi="Arial"/>
          <w:color w:val="333333"/>
          <w:sz w:val="20"/>
          <w:szCs w:val="20"/>
        </w:rPr>
        <w:t xml:space="preserve">ISO/IEC 25010:2023 — Systems and Software Quality</w:t>
      </w:r>
    </w:p>
    <w:p>
      <w:pPr>
        <w:pStyle w:val="ListParagraph"/>
        <w:numPr>
          <w:ilvl w:val="0"/>
          <w:numId w:val="2"/>
        </w:numPr>
        <w:spacing w:after="60"/>
      </w:pPr>
      <w:r>
        <w:rPr>
          <w:rFonts w:ascii="Arial" w:cs="Arial" w:eastAsia="Arial" w:hAnsi="Arial"/>
          <w:color w:val="333333"/>
          <w:sz w:val="20"/>
          <w:szCs w:val="20"/>
        </w:rPr>
        <w:t xml:space="preserve">ISO/IEC 17025:2017 — Testing Laboratory Competence</w:t>
      </w:r>
    </w:p>
    <w:p>
      <w:pPr>
        <w:pStyle w:val="ListParagraph"/>
        <w:numPr>
          <w:ilvl w:val="0"/>
          <w:numId w:val="2"/>
        </w:numPr>
        <w:spacing w:after="60"/>
      </w:pPr>
      <w:r>
        <w:rPr>
          <w:rFonts w:ascii="Arial" w:cs="Arial" w:eastAsia="Arial" w:hAnsi="Arial"/>
          <w:color w:val="333333"/>
          <w:sz w:val="20"/>
          <w:szCs w:val="20"/>
        </w:rPr>
        <w:t xml:space="preserve">ISO 17442 — Legal Entity Identifier (LEI)</w:t>
      </w:r>
    </w:p>
    <w:p>
      <w:pPr>
        <w:pStyle w:val="ListParagraph"/>
        <w:numPr>
          <w:ilvl w:val="0"/>
          <w:numId w:val="2"/>
        </w:numPr>
        <w:spacing w:after="60"/>
      </w:pPr>
      <w:r>
        <w:rPr>
          <w:rFonts w:ascii="Arial" w:cs="Arial" w:eastAsia="Arial" w:hAnsi="Arial"/>
          <w:color w:val="333333"/>
          <w:sz w:val="20"/>
          <w:szCs w:val="20"/>
        </w:rPr>
        <w:t xml:space="preserve">ISO 22600-2:2014 — Healthcare Privilege Management</w:t>
      </w:r>
    </w:p>
    <w:p>
      <w:pPr>
        <w:pStyle w:val="ListParagraph"/>
        <w:numPr>
          <w:ilvl w:val="0"/>
          <w:numId w:val="2"/>
        </w:numPr>
        <w:spacing w:after="60"/>
      </w:pPr>
      <w:r>
        <w:rPr>
          <w:rFonts w:ascii="Arial" w:cs="Arial" w:eastAsia="Arial" w:hAnsi="Arial"/>
          <w:color w:val="333333"/>
          <w:sz w:val="20"/>
          <w:szCs w:val="20"/>
        </w:rPr>
        <w:t xml:space="preserve">IEC 62304:2006+A1:2015 — Medical Device Software Lifecycle</w:t>
      </w:r>
    </w:p>
    <w:p>
      <w:pPr>
        <w:pStyle w:val="ListParagraph"/>
        <w:numPr>
          <w:ilvl w:val="0"/>
          <w:numId w:val="2"/>
        </w:numPr>
        <w:spacing w:after="60"/>
      </w:pPr>
      <w:r>
        <w:rPr>
          <w:rFonts w:ascii="Arial" w:cs="Arial" w:eastAsia="Arial" w:hAnsi="Arial"/>
          <w:color w:val="333333"/>
          <w:sz w:val="20"/>
          <w:szCs w:val="20"/>
        </w:rPr>
        <w:t xml:space="preserve">NIST SP 800-53 Rev. 5 — Security and Privacy Controls</w:t>
      </w:r>
    </w:p>
    <w:p>
      <w:pPr>
        <w:pStyle w:val="ListParagraph"/>
        <w:numPr>
          <w:ilvl w:val="0"/>
          <w:numId w:val="2"/>
        </w:numPr>
        <w:spacing w:after="60"/>
      </w:pPr>
      <w:r>
        <w:rPr>
          <w:rFonts w:ascii="Arial" w:cs="Arial" w:eastAsia="Arial" w:hAnsi="Arial"/>
          <w:color w:val="333333"/>
          <w:sz w:val="20"/>
          <w:szCs w:val="20"/>
        </w:rPr>
        <w:t xml:space="preserve">NIST SP 800-188 — De-Identification of Datasets</w:t>
      </w:r>
    </w:p>
    <w:p>
      <w:pPr>
        <w:pStyle w:val="ListParagraph"/>
        <w:numPr>
          <w:ilvl w:val="0"/>
          <w:numId w:val="2"/>
        </w:numPr>
        <w:spacing w:after="60"/>
      </w:pPr>
      <w:r>
        <w:rPr>
          <w:rFonts w:ascii="Arial" w:cs="Arial" w:eastAsia="Arial" w:hAnsi="Arial"/>
          <w:color w:val="333333"/>
          <w:sz w:val="20"/>
          <w:szCs w:val="20"/>
        </w:rPr>
        <w:t xml:space="preserve">W3C DID Core 1.0 — Decentralised Identifiers</w:t>
      </w:r>
    </w:p>
    <w:p>
      <w:pPr>
        <w:pStyle w:val="ListParagraph"/>
        <w:numPr>
          <w:ilvl w:val="0"/>
          <w:numId w:val="2"/>
        </w:numPr>
        <w:spacing w:after="60"/>
      </w:pPr>
      <w:r>
        <w:rPr>
          <w:rFonts w:ascii="Arial" w:cs="Arial" w:eastAsia="Arial" w:hAnsi="Arial"/>
          <w:color w:val="333333"/>
          <w:sz w:val="20"/>
          <w:szCs w:val="20"/>
        </w:rPr>
        <w:t xml:space="preserve">HL7 FHIR R4 — NamingSystem, PractitionerRole</w:t>
      </w:r>
    </w:p>
    <w:p>
      <w:pPr>
        <w:pStyle w:val="ListParagraph"/>
        <w:numPr>
          <w:ilvl w:val="0"/>
          <w:numId w:val="2"/>
        </w:numPr>
        <w:spacing w:after="60"/>
      </w:pPr>
      <w:r>
        <w:rPr>
          <w:rFonts w:ascii="Arial" w:cs="Arial" w:eastAsia="Arial" w:hAnsi="Arial"/>
          <w:color w:val="333333"/>
          <w:sz w:val="20"/>
          <w:szCs w:val="20"/>
        </w:rPr>
        <w:t xml:space="preserve">ISCO-08 — International Standard Classification of Occupations (ILO)</w:t>
      </w:r>
    </w:p>
    <w:p>
      <w:pPr>
        <w:pStyle w:val="ListParagraph"/>
        <w:numPr>
          <w:ilvl w:val="0"/>
          <w:numId w:val="2"/>
        </w:numPr>
        <w:spacing w:after="60"/>
      </w:pPr>
      <w:r>
        <w:rPr>
          <w:rFonts w:ascii="Arial" w:cs="Arial" w:eastAsia="Arial" w:hAnsi="Arial"/>
          <w:color w:val="333333"/>
          <w:sz w:val="20"/>
          <w:szCs w:val="20"/>
        </w:rPr>
        <w:t xml:space="preserve">WFME — Global Standards for Medical Education (2015/2023)</w:t>
      </w:r>
    </w:p>
    <w:p>
      <w:pPr>
        <w:pStyle w:val="ListParagraph"/>
        <w:numPr>
          <w:ilvl w:val="0"/>
          <w:numId w:val="2"/>
        </w:numPr>
        <w:spacing w:after="60"/>
      </w:pPr>
      <w:r>
        <w:rPr>
          <w:rFonts w:ascii="Arial" w:cs="Arial" w:eastAsia="Arial" w:hAnsi="Arial"/>
          <w:color w:val="333333"/>
          <w:sz w:val="20"/>
          <w:szCs w:val="20"/>
        </w:rPr>
        <w:t xml:space="preserve">CNIL — Blockchain and GDPR Guidance (2018)</w:t>
      </w:r>
    </w:p>
    <w:p>
      <w:pPr>
        <w:pStyle w:val="ListParagraph"/>
        <w:numPr>
          <w:ilvl w:val="0"/>
          <w:numId w:val="2"/>
        </w:numPr>
        <w:spacing w:after="60"/>
      </w:pPr>
      <w:r>
        <w:rPr>
          <w:rFonts w:ascii="Arial" w:cs="Arial" w:eastAsia="Arial" w:hAnsi="Arial"/>
          <w:color w:val="333333"/>
          <w:sz w:val="20"/>
          <w:szCs w:val="20"/>
        </w:rPr>
        <w:t xml:space="preserve">WHO GDHCN — Global Digital Health Certification Network</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999999"/>
        <w:sz w:val="16"/>
        <w:szCs w:val="16"/>
      </w:rPr>
      <w:t xml:space="preserve">Health Agent Workspace — Strategic Risk Mitigation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2026-03-15T17:39:33.113Z</dcterms:created>
  <dcterms:modified xsi:type="dcterms:W3CDTF">2026-03-15T17:39:33.113Z</dcterms:modified>
</cp:coreProperties>
</file>

<file path=docProps/custom.xml><?xml version="1.0" encoding="utf-8"?>
<Properties xmlns="http://schemas.openxmlformats.org/officeDocument/2006/custom-properties" xmlns:vt="http://schemas.openxmlformats.org/officeDocument/2006/docPropsVTypes"/>
</file>