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Dawn of Emerging Artificial Intelligence</w:t>
      </w:r>
    </w:p>
    <w:p>
      <w:r>
        <w:t>Artificial Intelligence (AI) is no longer a concept of science fiction; it has become a defining technology of the 21st century. From Large Language Models (LLMs) to generative art and autonomous systems, AI is reshaping how humans interact with information, creativity, and labor.</w:t>
      </w:r>
    </w:p>
    <w:p>
      <w:r>
        <w:t>One of the most significant shifts has been the move toward generative AI. Unlike traditional AI, which was primarily used for classification and prediction, generative AI can create entirely new content, including text, images, and code. This has unlocked unprecedented productivity in software development, marketing, and the arts.</w:t>
      </w:r>
    </w:p>
    <w:p>
      <w:r>
        <w:t>However, the rapid emergence of AI brings significant ethical challenges. Concerns regarding data privacy, algorithmic bias, and the displacement of human jobs have sparked global debates. Ensuring that AI is developed with transparency and human-centric guardrails is crucial for its sustainable integration into society.</w:t>
      </w:r>
    </w:p>
    <w:p>
      <w:r>
        <w:t>Looking ahead, the frontier of AI lies in Artificial General Intelligence (AGI) and multi-modal systems that can reason across different types of data seamlessly. As AI continues to evolve, the synergy between human intuition and machine efficiency will likely define the next era of human progress.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