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drawing>
          <wp:inline xmlns:a="http://schemas.openxmlformats.org/drawingml/2006/main" xmlns:pic="http://schemas.openxmlformats.org/drawingml/2006/picture">
            <wp:extent cx="1952625" cy="267666"/>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2"/>
                    <a:stretch>
                      <a:fillRect/>
                    </a:stretch>
                  </pic:blipFill>
                  <pic:spPr>
                    <a:xfrm>
                      <a:off x="0" y="0"/>
                      <a:ext cx="1952625" cy="267666"/>
                    </a:xfrm>
                    <a:prstGeom prst="rect"/>
                  </pic:spPr>
                </pic:pic>
              </a:graphicData>
            </a:graphic>
          </wp:inline>
        </w:drawing>
      </w:r>
    </w:p>
    <w:p>
      <w:pPr>
        <w:pStyle w:val="Heading1"/>
        <w:spacing w:after="80"/>
        <w:pBdr>
          <w:bottom w:val="single" w:sz="10" w:space="8" w:color="008490"/>
        </w:pBdr>
      </w:pPr>
      <w:r>
        <w:rPr>
          <w:rFonts w:ascii="Calibri" w:hAnsi="Calibri"/>
          <w:b/>
          <w:color w:val="1F2937"/>
          <w:sz w:val="50"/>
        </w:rPr>
        <w:t>TAX INVOICE</w:t>
      </w:r>
    </w:p>
    <w:tbl>
      <w:tblPr>
        <w:tblStyle w:val="TableGrid"/>
        <w:tblW w:type="auto" w:w="0"/>
        <w:jc w:val="left"/>
        <w:tblLook w:firstColumn="1" w:firstRow="1" w:lastColumn="0" w:lastRow="0" w:noHBand="0" w:noVBand="1" w:val="04A0"/>
      </w:tblPr>
      <w:tblGrid>
        <w:gridCol w:w="4759"/>
        <w:gridCol w:w="4759"/>
      </w:tblGrid>
      <w:tr>
        <w:tc>
          <w:tcPr>
            <w:tcW w:type="dxa" w:w="4759"/>
            <w:shd w:val="clear" w:fill="008490"/>
          </w:tcPr>
          <w:p>
            <w:r>
              <w:rPr>
                <w:b/>
                <w:color w:val="FFFFFF"/>
                <w:sz w:val="19"/>
              </w:rPr>
            </w:r>
          </w:p>
        </w:tc>
        <w:tc>
          <w:tcPr>
            <w:tcW w:type="dxa" w:w="4759"/>
            <w:shd w:val="clear" w:fill="008490"/>
          </w:tcPr>
          <w:p>
            <w:r>
              <w:rPr>
                <w:b/>
                <w:color w:val="FFFFFF"/>
                <w:sz w:val="19"/>
              </w:rPr>
            </w:r>
          </w:p>
        </w:tc>
      </w:tr>
      <w:tr>
        <w:tc>
          <w:tcPr>
            <w:tcW w:type="dxa" w:w="4759"/>
          </w:tcPr>
          <w:p>
            <w:r>
              <w:rPr>
                <w:sz w:val="19"/>
              </w:rPr>
            </w:r>
            <w:r>
              <w:rPr>
                <w:sz w:val="19"/>
              </w:rPr>
              <w:t>Supplier:</w:t>
            </w:r>
          </w:p>
        </w:tc>
        <w:tc>
          <w:tcPr>
            <w:tcW w:type="dxa" w:w="4759"/>
          </w:tcPr>
          <w:p>
            <w:r>
              <w:rPr>
                <w:sz w:val="19"/>
              </w:rPr>
            </w:r>
            <w:r>
              <w:rPr>
                <w:sz w:val="19"/>
              </w:rPr>
              <w:t>Intradark Pty Ltd</w:t>
            </w:r>
          </w:p>
        </w:tc>
      </w:tr>
      <w:tr>
        <w:tc>
          <w:tcPr>
            <w:tcW w:type="dxa" w:w="4759"/>
            <w:shd w:val="clear" w:fill="F2F7F7"/>
          </w:tcPr>
          <w:p>
            <w:r>
              <w:rPr>
                <w:sz w:val="19"/>
              </w:rPr>
            </w:r>
            <w:r>
              <w:rPr>
                <w:sz w:val="19"/>
              </w:rPr>
              <w:t>ABN:</w:t>
            </w:r>
          </w:p>
        </w:tc>
        <w:tc>
          <w:tcPr>
            <w:tcW w:type="dxa" w:w="4759"/>
            <w:shd w:val="clear" w:fill="F2F7F7"/>
          </w:tcPr>
          <w:p>
            <w:r>
              <w:rPr>
                <w:sz w:val="19"/>
              </w:rPr>
            </w:r>
            <w:r>
              <w:rPr>
                <w:sz w:val="19"/>
              </w:rPr>
              <w:t>38 696 182 457</w:t>
            </w:r>
          </w:p>
        </w:tc>
      </w:tr>
      <w:tr>
        <w:tc>
          <w:tcPr>
            <w:tcW w:type="dxa" w:w="4759"/>
          </w:tcPr>
          <w:p>
            <w:r>
              <w:rPr>
                <w:sz w:val="19"/>
              </w:rPr>
            </w:r>
            <w:r>
              <w:rPr>
                <w:sz w:val="19"/>
              </w:rPr>
              <w:t>Invoice number:</w:t>
            </w:r>
          </w:p>
        </w:tc>
        <w:tc>
          <w:tcPr>
            <w:tcW w:type="dxa" w:w="4759"/>
          </w:tcPr>
          <w:p>
            <w:r>
              <w:rPr>
                <w:sz w:val="19"/>
              </w:rPr>
            </w:r>
            <w:r>
              <w:rPr>
                <w:sz w:val="19"/>
              </w:rPr>
              <w:t>[INV-2026-___]</w:t>
            </w:r>
          </w:p>
        </w:tc>
      </w:tr>
      <w:tr>
        <w:tc>
          <w:tcPr>
            <w:tcW w:type="dxa" w:w="4759"/>
            <w:shd w:val="clear" w:fill="F2F7F7"/>
          </w:tcPr>
          <w:p>
            <w:r>
              <w:rPr>
                <w:sz w:val="19"/>
              </w:rPr>
            </w:r>
            <w:r>
              <w:rPr>
                <w:sz w:val="19"/>
              </w:rPr>
              <w:t>Invoice date:</w:t>
            </w:r>
          </w:p>
        </w:tc>
        <w:tc>
          <w:tcPr>
            <w:tcW w:type="dxa" w:w="4759"/>
            <w:shd w:val="clear" w:fill="F2F7F7"/>
          </w:tcPr>
          <w:p>
            <w:r>
              <w:rPr>
                <w:sz w:val="19"/>
              </w:rPr>
            </w:r>
            <w:r>
              <w:rPr>
                <w:sz w:val="19"/>
              </w:rPr>
              <w:t>7 July 2026</w:t>
            </w:r>
          </w:p>
        </w:tc>
      </w:tr>
      <w:tr>
        <w:tc>
          <w:tcPr>
            <w:tcW w:type="dxa" w:w="4759"/>
          </w:tcPr>
          <w:p>
            <w:r>
              <w:rPr>
                <w:sz w:val="19"/>
              </w:rPr>
            </w:r>
            <w:r>
              <w:rPr>
                <w:sz w:val="19"/>
              </w:rPr>
              <w:t>Bill to:</w:t>
            </w:r>
          </w:p>
        </w:tc>
        <w:tc>
          <w:tcPr>
            <w:tcW w:type="dxa" w:w="4759"/>
          </w:tcPr>
          <w:p>
            <w:r>
              <w:rPr>
                <w:sz w:val="19"/>
              </w:rPr>
            </w:r>
            <w:r>
              <w:rPr>
                <w:sz w:val="19"/>
              </w:rPr>
              <w:t>Amayda Pty Ltd, Attn: Glenn Rushton, Director [insert ABN / address]</w:t>
            </w:r>
          </w:p>
        </w:tc>
      </w:tr>
    </w:tbl>
    <w:p/>
    <w:p>
      <w:pPr>
        <w:pStyle w:val="Heading2"/>
        <w:spacing w:before="320" w:after="120"/>
      </w:pPr>
      <w:r>
        <w:rPr>
          <w:rFonts w:ascii="Calibri" w:hAnsi="Calibri"/>
          <w:b/>
          <w:color w:val="008490"/>
          <w:sz w:val="31"/>
        </w:rPr>
        <w:t>Items</w:t>
      </w:r>
    </w:p>
    <w:tbl>
      <w:tblPr>
        <w:tblStyle w:val="TableGrid"/>
        <w:tblW w:type="auto" w:w="0"/>
        <w:jc w:val="left"/>
        <w:tblLook w:firstColumn="1" w:firstRow="1" w:lastColumn="0" w:lastRow="0" w:noHBand="0" w:noVBand="1" w:val="04A0"/>
      </w:tblPr>
      <w:tblGrid>
        <w:gridCol w:w="4759"/>
        <w:gridCol w:w="4759"/>
      </w:tblGrid>
      <w:tr>
        <w:tc>
          <w:tcPr>
            <w:tcW w:type="dxa" w:w="4759"/>
            <w:shd w:val="clear" w:fill="008490"/>
          </w:tcPr>
          <w:p>
            <w:r>
              <w:rPr>
                <w:b/>
                <w:color w:val="FFFFFF"/>
                <w:sz w:val="19"/>
              </w:rPr>
            </w:r>
            <w:r>
              <w:rPr>
                <w:b/>
                <w:color w:val="FFFFFF"/>
                <w:sz w:val="19"/>
              </w:rPr>
              <w:t>Description</w:t>
            </w:r>
          </w:p>
        </w:tc>
        <w:tc>
          <w:tcPr>
            <w:tcW w:type="dxa" w:w="4759"/>
            <w:shd w:val="clear" w:fill="008490"/>
          </w:tcPr>
          <w:p>
            <w:r>
              <w:rPr>
                <w:b/>
                <w:color w:val="FFFFFF"/>
                <w:sz w:val="19"/>
              </w:rPr>
            </w:r>
            <w:r>
              <w:rPr>
                <w:b/>
                <w:color w:val="FFFFFF"/>
                <w:sz w:val="19"/>
              </w:rPr>
              <w:t>Amount</w:t>
            </w:r>
          </w:p>
        </w:tc>
      </w:tr>
      <w:tr>
        <w:tc>
          <w:tcPr>
            <w:tcW w:type="dxa" w:w="4759"/>
          </w:tcPr>
          <w:p>
            <w:r>
              <w:rPr>
                <w:sz w:val="19"/>
              </w:rPr>
            </w:r>
            <w:r>
              <w:rPr>
                <w:sz w:val="19"/>
              </w:rPr>
              <w:t>Bullyproof platform: completion and handover payment under the Formal Variation Agreement, clause 4(b). Completion of all deliverables under the Statement of Work (Schedule 1), full handover including source code and repository control, and acceptance under clause 7. Per the Completion and Deliverables Register, FINAL issue dated 7 July 2026.</w:t>
            </w:r>
          </w:p>
        </w:tc>
        <w:tc>
          <w:tcPr>
            <w:tcW w:type="dxa" w:w="4759"/>
          </w:tcPr>
          <w:p>
            <w:r>
              <w:rPr>
                <w:sz w:val="19"/>
              </w:rPr>
            </w:r>
            <w:r>
              <w:rPr>
                <w:sz w:val="19"/>
              </w:rPr>
              <w:t>$100,000.00</w:t>
            </w:r>
          </w:p>
        </w:tc>
      </w:tr>
      <w:tr>
        <w:tc>
          <w:tcPr>
            <w:tcW w:type="dxa" w:w="4759"/>
            <w:shd w:val="clear" w:fill="F2F7F7"/>
          </w:tcPr>
          <w:p>
            <w:r>
              <w:rPr>
                <w:sz w:val="19"/>
              </w:rPr>
            </w:r>
            <w:r>
              <w:rPr>
                <w:sz w:val="19"/>
              </w:rPr>
              <w:t>GST (10%)</w:t>
            </w:r>
          </w:p>
        </w:tc>
        <w:tc>
          <w:tcPr>
            <w:tcW w:type="dxa" w:w="4759"/>
            <w:shd w:val="clear" w:fill="F2F7F7"/>
          </w:tcPr>
          <w:p>
            <w:r>
              <w:rPr>
                <w:sz w:val="19"/>
              </w:rPr>
            </w:r>
            <w:r>
              <w:rPr>
                <w:sz w:val="19"/>
              </w:rPr>
              <w:t>$10,000.00</w:t>
            </w:r>
          </w:p>
        </w:tc>
      </w:tr>
      <w:tr>
        <w:tc>
          <w:tcPr>
            <w:tcW w:type="dxa" w:w="4759"/>
          </w:tcPr>
          <w:p>
            <w:r>
              <w:rPr>
                <w:sz w:val="19"/>
              </w:rPr>
            </w:r>
            <w:r>
              <w:rPr>
                <w:b/>
                <w:sz w:val="19"/>
              </w:rPr>
              <w:t>Total payable (GST inclusive)</w:t>
            </w:r>
          </w:p>
        </w:tc>
        <w:tc>
          <w:tcPr>
            <w:tcW w:type="dxa" w:w="4759"/>
          </w:tcPr>
          <w:p>
            <w:r>
              <w:rPr>
                <w:sz w:val="19"/>
              </w:rPr>
            </w:r>
            <w:r>
              <w:rPr>
                <w:b/>
                <w:sz w:val="19"/>
              </w:rPr>
              <w:t>$110,000.00</w:t>
            </w:r>
          </w:p>
        </w:tc>
      </w:tr>
    </w:tbl>
    <w:p/>
    <w:p>
      <w:pPr>
        <w:pStyle w:val="Heading2"/>
        <w:spacing w:before="320" w:after="120"/>
      </w:pPr>
      <w:r>
        <w:rPr>
          <w:rFonts w:ascii="Calibri" w:hAnsi="Calibri"/>
          <w:b/>
          <w:color w:val="008490"/>
          <w:sz w:val="31"/>
        </w:rPr>
        <w:t>Payment terms</w:t>
      </w:r>
    </w:p>
    <w:p>
      <w:r>
        <w:t>Payable on written Acceptance under clause 7 and completion of handover, per clause 4(b) of the Formal Variation Agreement. Deemed Acceptance under clause 7.4 applies if no response is received within the UAT Period.</w:t>
      </w:r>
    </w:p>
    <w:p>
      <w:r>
        <w:t>Note: this invoice covers the clause 4(b) fee balance only. The salary component remainder under the agreed Phase 1 structure is settled through payroll with the final pay run and does not form part of this invoice.</w:t>
      </w:r>
    </w:p>
    <w:p>
      <w:pPr>
        <w:pStyle w:val="Heading2"/>
        <w:spacing w:before="320" w:after="120"/>
      </w:pPr>
      <w:r>
        <w:rPr>
          <w:rFonts w:ascii="Calibri" w:hAnsi="Calibri"/>
          <w:b/>
          <w:color w:val="008490"/>
          <w:sz w:val="31"/>
        </w:rPr>
        <w:t>Payment details</w:t>
      </w:r>
    </w:p>
    <w:tbl>
      <w:tblPr>
        <w:tblStyle w:val="TableGrid"/>
        <w:tblW w:type="auto" w:w="0"/>
        <w:jc w:val="left"/>
        <w:tblLook w:firstColumn="1" w:firstRow="1" w:lastColumn="0" w:lastRow="0" w:noHBand="0" w:noVBand="1" w:val="04A0"/>
      </w:tblPr>
      <w:tblGrid>
        <w:gridCol w:w="4759"/>
        <w:gridCol w:w="4759"/>
      </w:tblGrid>
      <w:tr>
        <w:tc>
          <w:tcPr>
            <w:tcW w:type="dxa" w:w="4759"/>
            <w:shd w:val="clear" w:fill="008490"/>
          </w:tcPr>
          <w:p>
            <w:r>
              <w:rPr>
                <w:b/>
                <w:color w:val="FFFFFF"/>
                <w:sz w:val="19"/>
              </w:rPr>
            </w:r>
          </w:p>
        </w:tc>
        <w:tc>
          <w:tcPr>
            <w:tcW w:type="dxa" w:w="4759"/>
            <w:shd w:val="clear" w:fill="008490"/>
          </w:tcPr>
          <w:p>
            <w:r>
              <w:rPr>
                <w:b/>
                <w:color w:val="FFFFFF"/>
                <w:sz w:val="19"/>
              </w:rPr>
            </w:r>
          </w:p>
        </w:tc>
      </w:tr>
      <w:tr>
        <w:tc>
          <w:tcPr>
            <w:tcW w:type="dxa" w:w="4759"/>
          </w:tcPr>
          <w:p>
            <w:r>
              <w:rPr>
                <w:sz w:val="19"/>
              </w:rPr>
            </w:r>
            <w:r>
              <w:rPr>
                <w:sz w:val="19"/>
              </w:rPr>
              <w:t>Account name:</w:t>
            </w:r>
          </w:p>
        </w:tc>
        <w:tc>
          <w:tcPr>
            <w:tcW w:type="dxa" w:w="4759"/>
          </w:tcPr>
          <w:p>
            <w:r>
              <w:rPr>
                <w:sz w:val="19"/>
              </w:rPr>
            </w:r>
            <w:r>
              <w:rPr>
                <w:sz w:val="19"/>
              </w:rPr>
              <w:t>[insert]</w:t>
            </w:r>
          </w:p>
        </w:tc>
      </w:tr>
      <w:tr>
        <w:tc>
          <w:tcPr>
            <w:tcW w:type="dxa" w:w="4759"/>
            <w:shd w:val="clear" w:fill="F2F7F7"/>
          </w:tcPr>
          <w:p>
            <w:r>
              <w:rPr>
                <w:sz w:val="19"/>
              </w:rPr>
            </w:r>
            <w:r>
              <w:rPr>
                <w:sz w:val="19"/>
              </w:rPr>
              <w:t>BSB:</w:t>
            </w:r>
          </w:p>
        </w:tc>
        <w:tc>
          <w:tcPr>
            <w:tcW w:type="dxa" w:w="4759"/>
            <w:shd w:val="clear" w:fill="F2F7F7"/>
          </w:tcPr>
          <w:p>
            <w:r>
              <w:rPr>
                <w:sz w:val="19"/>
              </w:rPr>
            </w:r>
            <w:r>
              <w:rPr>
                <w:sz w:val="19"/>
              </w:rPr>
              <w:t>[insert]</w:t>
            </w:r>
          </w:p>
        </w:tc>
      </w:tr>
      <w:tr>
        <w:tc>
          <w:tcPr>
            <w:tcW w:type="dxa" w:w="4759"/>
          </w:tcPr>
          <w:p>
            <w:r>
              <w:rPr>
                <w:sz w:val="19"/>
              </w:rPr>
            </w:r>
            <w:r>
              <w:rPr>
                <w:sz w:val="19"/>
              </w:rPr>
              <w:t>Account number:</w:t>
            </w:r>
          </w:p>
        </w:tc>
        <w:tc>
          <w:tcPr>
            <w:tcW w:type="dxa" w:w="4759"/>
          </w:tcPr>
          <w:p>
            <w:r>
              <w:rPr>
                <w:sz w:val="19"/>
              </w:rPr>
            </w:r>
            <w:r>
              <w:rPr>
                <w:sz w:val="19"/>
              </w:rPr>
              <w:t>[insert]</w:t>
            </w:r>
          </w:p>
        </w:tc>
      </w:tr>
      <w:tr>
        <w:tc>
          <w:tcPr>
            <w:tcW w:type="dxa" w:w="4759"/>
            <w:shd w:val="clear" w:fill="F2F7F7"/>
          </w:tcPr>
          <w:p>
            <w:r>
              <w:rPr>
                <w:sz w:val="19"/>
              </w:rPr>
            </w:r>
            <w:r>
              <w:rPr>
                <w:sz w:val="19"/>
              </w:rPr>
              <w:t>Reference:</w:t>
            </w:r>
          </w:p>
        </w:tc>
        <w:tc>
          <w:tcPr>
            <w:tcW w:type="dxa" w:w="4759"/>
            <w:shd w:val="clear" w:fill="F2F7F7"/>
          </w:tcPr>
          <w:p>
            <w:r>
              <w:rPr>
                <w:sz w:val="19"/>
              </w:rPr>
            </w:r>
            <w:r>
              <w:rPr>
                <w:sz w:val="19"/>
              </w:rPr>
              <w:t>[invoice number]</w:t>
            </w:r>
          </w:p>
        </w:tc>
      </w:tr>
    </w:tbl>
    <w:p/>
    <w:p>
      <w:r>
        <w:t>Enquiries: agirton@intradark.com</w:t>
      </w:r>
    </w:p>
    <w:sectPr w:rsidR="00FC693F" w:rsidRPr="0006063C" w:rsidSect="00034616">
      <w:footerReference w:type="default" r:id="rId9"/>
      <w:footerReference w:type="first" r:id="rId10"/>
      <w:headerReference w:type="default" r:id="rId11"/>
      <w:pgSz w:w="12240" w:h="15840"/>
      <w:pgMar w:top="1247" w:right="1361" w:bottom="1134" w:left="136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18" w:val="right"/>
      </w:tabs>
      <w:pBdr>
        <w:top w:val="single" w:sz="4" w:space="6" w:color="008490"/>
      </w:pBdr>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18" w:val="right"/>
      </w:tabs>
      <w:pBdr>
        <w:top w:val="single" w:sz="4" w:space="6" w:color="008490"/>
      </w:pBdr>
    </w:pPr>
    <w:r/>
    <w:r>
      <w:rPr>
        <w:color w:val="6B7280"/>
        <w:sz w:val="16"/>
      </w:rPr>
      <w:t>Intradark Pty Ltd  ·  ABN 38 696 182 457  ·  Commercial in confidence</w:t>
    </w:r>
    <w:r>
      <w:rPr>
        <w:sz w:val="16"/>
      </w:rPr>
      <w:tab/>
    </w:r>
    <w:r>
      <w:rPr>
        <w:color w:val="6B7280"/>
        <w:sz w:val="16"/>
      </w:rPr>
      <w:t xml:space="preserve">Page </w:t>
    </w:r>
    <w:r>
      <w:rPr>
        <w:color w:val="6B7280"/>
        <w:sz w:val="16"/>
      </w:rPr>
      <w:fldChar w:fldCharType="begin"/>
      <w:instrText xml:space="preserve">PAGE</w:instrText>
      <w:fldChar w:fldCharType="end"/>
    </w:r>
    <w:r>
      <w:rPr>
        <w:color w:val="6B7280"/>
        <w:sz w:val="16"/>
      </w:rPr>
      <w:t xml:space="preserve"> of </w:t>
    </w:r>
    <w:r>
      <w:rPr>
        <w:color w:val="6B7280"/>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904875" cy="124040"/>
          <wp:docPr id="1" name="Picture 1"/>
          <wp:cNvGraphicFramePr>
            <a:graphicFrameLocks noChangeAspect="1"/>
          </wp:cNvGraphicFramePr>
          <a:graphic>
            <a:graphicData uri="http://schemas.openxmlformats.org/drawingml/2006/picture">
              <pic:pic>
                <pic:nvPicPr>
                  <pic:cNvPr id="0" name="intradark-wordmark.png"/>
                  <pic:cNvPicPr/>
                </pic:nvPicPr>
                <pic:blipFill>
                  <a:blip r:embed="rId1"/>
                  <a:stretch>
                    <a:fillRect/>
                  </a:stretch>
                </pic:blipFill>
                <pic:spPr>
                  <a:xfrm>
                    <a:off x="0" y="0"/>
                    <a:ext cx="904875" cy="1240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