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4F72"/>
          <w:sz w:val="34"/>
          <w:szCs w:val="34"/>
        </w:rPr>
        <w:t xml:space="preserve">BULLYPROOF — Change Request</w:t>
      </w:r>
    </w:p>
    <w:p>
      <w:r>
        <w:rPr>
          <w:color w:val="5B6B79"/>
          <w:sz w:val="20"/>
          <w:szCs w:val="20"/>
        </w:rPr>
        <w:t xml:space="preserve">Discipline costing &amp; scope split · 23 June 2026 · all figures ex-GST</w:t>
      </w:r>
    </w:p>
    <w:p>
      <w:pPr>
        <w:pBdr>
          <w:bottom w:val="single" w:color="2E75B6" w:sz="14" w:space="2"/>
        </w:pBdr>
        <w:spacing w:after="240" w:before="60"/>
      </w:pPr>
      <w:r>
        <w:t xml:space="preserve"/>
      </w:r>
    </w:p>
    <w:p>
      <w:pPr>
        <w:spacing w:after="140" w:line="288"/>
      </w:pPr>
      <w:r>
        <w:rPr>
          <w:color w:val="1F2933"/>
          <w:sz w:val="22"/>
          <w:szCs w:val="22"/>
        </w:rPr>
        <w:t xml:space="preserve">This costs the change request by discipline (one specialist per category) rather than a blended day-rate, and separates what was originally agreed from scope added afterwards. </w:t>
      </w:r>
      <w:r>
        <w:rPr>
          <w:b/>
          <w:bCs/>
          <w:color w:val="1B4F72"/>
          <w:sz w:val="22"/>
          <w:szCs w:val="22"/>
        </w:rPr>
        <w:t xml:space="preserve">Man-hours cost basis for the whole request: $251,931 (2023 hours).</w:t>
      </w:r>
    </w:p>
    <w:p>
      <w:pPr>
        <w:spacing w:after="120" w:before="120"/>
      </w:pPr>
      <w:r>
        <w:t xml:space="preserve"/>
      </w:r>
    </w:p>
    <w:p>
      <w:pPr>
        <w:spacing w:after="140" w:line="288"/>
      </w:pPr>
      <w:r>
        <w:rPr>
          <w:b/>
          <w:bCs/>
          <w:color w:val="1F2933"/>
          <w:sz w:val="22"/>
          <w:szCs w:val="22"/>
        </w:rPr>
        <w:t xml:space="preserve">Headline: </w:t>
      </w:r>
      <w:r>
        <w:rPr>
          <w:color w:val="1F2933"/>
          <w:sz w:val="22"/>
          <w:szCs w:val="22"/>
        </w:rPr>
        <w:t xml:space="preserve">the originally-agreed work (content type + bug fixes) is ~$41,738 and stays on the committed ~6-week timeline. The additional scope added later is </w:t>
      </w:r>
      <w:r>
        <w:rPr>
          <w:b/>
          <w:bCs/>
          <w:color w:val="1F2933"/>
          <w:sz w:val="22"/>
          <w:szCs w:val="22"/>
        </w:rPr>
        <w:t xml:space="preserve">$220,094 at cost</w:t>
      </w:r>
      <w:r>
        <w:rPr>
          <w:color w:val="1F2933"/>
          <w:sz w:val="22"/>
          <w:szCs w:val="22"/>
        </w:rPr>
        <w:t xml:space="preserve"> (50 items, 1765 hours) and needs its own schedule. The Brand Refresh (module M8) is now included at no charge as a goodwill gesture (~$9,300 of work), and is excluded from the chargeable additional total above.</w:t>
      </w:r>
    </w:p>
    <w:p>
      <w:pPr>
        <w:pStyle w:val="Heading1"/>
        <w:pageBreakBefore/>
        <w:spacing w:after="120"/>
      </w:pPr>
      <w:r>
        <w:rPr>
          <w:b/>
          <w:bCs/>
          <w:color w:val="1B4F72"/>
          <w:sz w:val="32"/>
          <w:szCs w:val="32"/>
        </w:rPr>
        <w:t xml:space="preserve">1.  Cost by discipline</w:t>
      </w:r>
    </w:p>
    <w:p>
      <w:pPr>
        <w:pBdr>
          <w:bottom w:val="single" w:color="2E75B6" w:sz="12" w:space="1"/>
        </w:pBdr>
        <w:spacing w:after="300" w:before="60"/>
      </w:pPr>
      <w:r>
        <w:t xml:space="preserve"/>
      </w:r>
    </w:p>
    <w:p>
      <w:pPr>
        <w:spacing w:after="140" w:line="288"/>
      </w:pPr>
      <w:r>
        <w:rPr>
          <w:color w:val="1F2933"/>
          <w:sz w:val="22"/>
          <w:szCs w:val="22"/>
        </w:rPr>
        <w:t xml:space="preserve">Hours estimated per item per discipline, summed across all 60 items, priced at current AU contract day rates (direct/company, ex-GST):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300"/>
        <w:gridCol w:w="1560"/>
        <w:gridCol w:w="2100"/>
      </w:tblGrid>
      <w:tr>
        <w:trPr>
          <w:tblHeader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Discipline</w:t>
            </w:r>
          </w:p>
        </w:tc>
        <w:tc>
          <w:tcPr>
            <w:tcW w:type="dxa" w:w="1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 rate</w:t>
            </w:r>
          </w:p>
        </w:tc>
        <w:tc>
          <w:tcPr>
            <w:tcW w:type="dxa" w:w="2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Design / UX</w:t>
            </w:r>
          </w:p>
        </w:tc>
        <w:tc>
          <w:tcPr>
            <w:tcW w:type="dxa" w:w="1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190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23.8</w:t>
            </w:r>
          </w:p>
        </w:tc>
        <w:tc>
          <w:tcPr>
            <w:tcW w:type="dxa" w:w="1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$900</w:t>
            </w:r>
          </w:p>
        </w:tc>
        <w:tc>
          <w:tcPr>
            <w:tcW w:type="dxa" w:w="2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$21,375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Frontend (React/Next)</w:t>
            </w:r>
          </w:p>
        </w:tc>
        <w:tc>
          <w:tcPr>
            <w:tcW w:type="dxa" w:w="1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732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91.5</w:t>
            </w:r>
          </w:p>
        </w:tc>
        <w:tc>
          <w:tcPr>
            <w:tcW w:type="dxa" w:w="1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$1,000</w:t>
            </w:r>
          </w:p>
        </w:tc>
        <w:tc>
          <w:tcPr>
            <w:tcW w:type="dxa" w:w="2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$91,500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823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102.9</w:t>
            </w:r>
          </w:p>
        </w:tc>
        <w:tc>
          <w:tcPr>
            <w:tcW w:type="dxa" w:w="1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$1,050</w:t>
            </w:r>
          </w:p>
        </w:tc>
        <w:tc>
          <w:tcPr>
            <w:tcW w:type="dxa" w:w="2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$108,019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DevOps / Infra</w:t>
            </w:r>
          </w:p>
        </w:tc>
        <w:tc>
          <w:tcPr>
            <w:tcW w:type="dxa" w:w="1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40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5.0</w:t>
            </w:r>
          </w:p>
        </w:tc>
        <w:tc>
          <w:tcPr>
            <w:tcW w:type="dxa" w:w="1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$1,150</w:t>
            </w:r>
          </w:p>
        </w:tc>
        <w:tc>
          <w:tcPr>
            <w:tcW w:type="dxa" w:w="2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$5,750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PM / BA / Admin</w:t>
            </w:r>
          </w:p>
        </w:tc>
        <w:tc>
          <w:tcPr>
            <w:tcW w:type="dxa" w:w="1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238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29.8</w:t>
            </w:r>
          </w:p>
        </w:tc>
        <w:tc>
          <w:tcPr>
            <w:tcW w:type="dxa" w:w="1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$850</w:t>
            </w:r>
          </w:p>
        </w:tc>
        <w:tc>
          <w:tcPr>
            <w:tcW w:type="dxa" w:w="2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$25,288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252.9</w:t>
            </w:r>
          </w:p>
        </w:tc>
        <w:tc>
          <w:tcPr>
            <w:tcW w:type="dxa" w:w="1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$251,931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40" w:line="288"/>
      </w:pPr>
      <w:r>
        <w:rPr>
          <w:i/>
          <w:iCs/>
          <w:color w:val="5B6B79"/>
          <w:sz w:val="19"/>
          <w:szCs w:val="19"/>
        </w:rPr>
        <w:t xml:space="preserve">Backend and Frontend dominate; DevOps and Design are light. Rates: Design $900, Frontend $1,000, Backend $1,050, DevOps $1,150, PM/Admin $850 per day — all editable in the companion workbook.</w:t>
      </w:r>
    </w:p>
    <w:p>
      <w:pPr>
        <w:pStyle w:val="Heading1"/>
        <w:pageBreakBefore/>
        <w:spacing w:after="120"/>
      </w:pPr>
      <w:r>
        <w:rPr>
          <w:b/>
          <w:bCs/>
          <w:color w:val="1B4F72"/>
          <w:sz w:val="32"/>
          <w:szCs w:val="32"/>
        </w:rPr>
        <w:t xml:space="preserve">2.  Original agreement vs additional scope</w:t>
      </w:r>
    </w:p>
    <w:p>
      <w:pPr>
        <w:pBdr>
          <w:bottom w:val="single" w:color="2E75B6" w:sz="12" w:space="1"/>
        </w:pBdr>
        <w:spacing w:after="300" w:before="60"/>
      </w:pPr>
      <w:r>
        <w:t xml:space="preserve"/>
      </w:r>
    </w:p>
    <w:p>
      <w:pPr>
        <w:spacing w:after="140" w:line="288"/>
      </w:pPr>
      <w:r>
        <w:rPr>
          <w:color w:val="1F2933"/>
          <w:sz w:val="22"/>
          <w:szCs w:val="22"/>
        </w:rPr>
        <w:t xml:space="preserve">Only the content-type switch and the bug fixes were in the original agreement. Everything else was added later and is billed separately, on its own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1300"/>
        <w:gridCol w:w="1900"/>
        <w:gridCol w:w="1660"/>
      </w:tblGrid>
      <w:tr>
        <w:trPr>
          <w:tblHeader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Items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1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basis</w:t>
            </w:r>
          </w:p>
        </w:tc>
        <w:tc>
          <w:tcPr>
            <w:tcW w:type="dxa" w:w="16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AF1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Original — bug fixes (39, 40, 51, 53)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94</w:t>
            </w:r>
          </w:p>
        </w:tc>
        <w:tc>
          <w:tcPr>
            <w:tcW w:type="dxa" w:w="1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$11,738</w:t>
            </w:r>
          </w:p>
        </w:tc>
        <w:tc>
          <w:tcPr>
            <w:tcW w:type="dxa" w:w="16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B6B79"/>
                <w:sz w:val="17"/>
                <w:szCs w:val="17"/>
              </w:rPr>
              <w:t xml:space="preserve">Within the committed ~6 weeks</w:t>
            </w:r>
          </w:p>
        </w:tc>
      </w:tr>
      <w:t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AF1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Original — content type (Item 18)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84</w:t>
            </w:r>
          </w:p>
        </w:tc>
        <w:tc>
          <w:tcPr>
            <w:tcW w:type="dxa" w:w="1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$30,000</w:t>
            </w:r>
          </w:p>
        </w:tc>
        <w:tc>
          <w:tcPr>
            <w:tcW w:type="dxa" w:w="16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B6B79"/>
                <w:sz w:val="17"/>
                <w:szCs w:val="17"/>
              </w:rPr>
              <w:t xml:space="preserve">Agreed in writing (≤$30k). Cost basis ~$10,550.</w:t>
            </w:r>
          </w:p>
        </w:tc>
      </w:tr>
      <w:t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Additional scope (added later)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1765</w:t>
            </w:r>
          </w:p>
        </w:tc>
        <w:tc>
          <w:tcPr>
            <w:tcW w:type="dxa" w:w="1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$220,094</w:t>
            </w:r>
          </w:p>
        </w:tc>
        <w:tc>
          <w:tcPr>
            <w:tcW w:type="dxa" w:w="16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B6B79"/>
                <w:sz w:val="17"/>
                <w:szCs w:val="17"/>
              </w:rPr>
              <w:t xml:space="preserve">Not in the original agreement — billed on top, own timeline</w:t>
            </w:r>
          </w:p>
        </w:tc>
      </w:tr>
      <w:t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8F6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Goodwill - Brand Refresh (M8), no charge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78</w:t>
            </w:r>
          </w:p>
        </w:tc>
        <w:tc>
          <w:tcPr>
            <w:tcW w:type="dxa" w:w="1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$9,300 value / $0 charged</w:t>
            </w:r>
          </w:p>
        </w:tc>
        <w:tc>
          <w:tcPr>
            <w:tcW w:type="dxa" w:w="16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B6B79"/>
                <w:sz w:val="17"/>
                <w:szCs w:val="17"/>
              </w:rPr>
              <w:t xml:space="preserve">Included free as a goodwill gesture; excluded from the chargeable total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Original agreement ≈ $41,738: content type at the agreed $30,000 plus 4 bug fixes (~$11,738 cost). Delivered within the committed ~6 weeks.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Additional scope = 50 items, 1765 hours, $220,094 at cost. This is the bulk of the work and was not part of what was agreed.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Item 41 (activity feed) is treated as additional, not a bug fix — two of its three buttons already work; the real work is building a new activity timeline.</w:t>
      </w:r>
    </w:p>
    <w:p>
      <w:pPr>
        <w:pStyle w:val="Heading1"/>
        <w:pageBreakBefore/>
        <w:spacing w:after="120"/>
      </w:pPr>
      <w:r>
        <w:rPr>
          <w:b/>
          <w:bCs/>
          <w:color w:val="1B4F72"/>
          <w:sz w:val="32"/>
          <w:szCs w:val="32"/>
        </w:rPr>
        <w:t xml:space="preserve">3.  Reasonable, firm and realistic: the pricing band</w:t>
      </w:r>
    </w:p>
    <w:p>
      <w:pPr>
        <w:pBdr>
          <w:bottom w:val="single" w:color="2E75B6" w:sz="12" w:space="1"/>
        </w:pBdr>
        <w:spacing w:after="300" w:before="60"/>
      </w:pPr>
      <w:r>
        <w:t xml:space="preserve"/>
      </w:r>
    </w:p>
    <w:p>
      <w:pPr>
        <w:spacing w:after="140" w:line="288"/>
      </w:pPr>
      <w:r>
        <w:rPr>
          <w:color w:val="1F2933"/>
          <w:sz w:val="22"/>
          <w:szCs w:val="22"/>
        </w:rPr>
        <w:t xml:space="preserve">The signed $30,000 for the content type is itself the strongest pricing signal: its delivery cost is only ~</w:t>
      </w:r>
      <w:r>
        <w:rPr>
          <w:b/>
          <w:bCs/>
          <w:color w:val="1F2933"/>
          <w:sz w:val="22"/>
          <w:szCs w:val="22"/>
        </w:rPr>
        <w:t xml:space="preserve">$10,550</w:t>
      </w:r>
      <w:r>
        <w:rPr>
          <w:color w:val="1F2933"/>
          <w:sz w:val="22"/>
          <w:szCs w:val="22"/>
        </w:rPr>
        <w:t xml:space="preserve">, so the client has already accepted roughly a 2.8× markup over cost on this work. Applying the same logic gives a defensible band: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Additional scope</w:t>
            </w:r>
          </w:p>
        </w:tc>
        <w:tc>
          <w:tcPr>
            <w:tcW w:type="dxa" w:w="2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Whole program</w:t>
            </w:r>
          </w:p>
        </w:tc>
      </w:tr>
      <w:tr>
        <w:tc>
          <w:tcPr>
            <w:tcW w:type="dxa" w:w="4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Cost floor (man-hours × market rate)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$220,094</w:t>
            </w:r>
          </w:p>
        </w:tc>
        <w:tc>
          <w:tcPr>
            <w:tcW w:type="dxa" w:w="2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$251,931</w:t>
            </w:r>
          </w:p>
        </w:tc>
      </w:tr>
      <w:tr>
        <w:tc>
          <w:tcPr>
            <w:tcW w:type="dxa" w:w="4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Value basis (Item-18 precedent, ×2.8)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$625,859</w:t>
            </w:r>
          </w:p>
        </w:tc>
        <w:tc>
          <w:tcPr>
            <w:tcW w:type="dxa" w:w="25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$667,597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Cost floor — the firm, conservative number: $220,094 for the additional scope ($251,931 whole program). Hard to argue down; it is market rate × honest hours.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Value basis — what the client's own agreement implies: ~$625,859 for the additional scope. Not aggressive; it just applies the markup they already signed for one item to the rest.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Recommendation: quote the additional scope on the cost-plus discipline basis as the floor, and hold the value figure as justified headroom in negotiation.</w:t>
      </w:r>
    </w:p>
    <w:p>
      <w:pPr>
        <w:pStyle w:val="Heading1"/>
        <w:pageBreakBefore/>
        <w:spacing w:after="120"/>
      </w:pPr>
      <w:r>
        <w:rPr>
          <w:b/>
          <w:bCs/>
          <w:color w:val="1B4F72"/>
          <w:sz w:val="32"/>
          <w:szCs w:val="32"/>
        </w:rPr>
        <w:t xml:space="preserve">4.  Timeline</w:t>
      </w:r>
    </w:p>
    <w:p>
      <w:pPr>
        <w:pBdr>
          <w:bottom w:val="single" w:color="2E75B6" w:sz="12" w:space="1"/>
        </w:pBdr>
        <w:spacing w:after="300" w:before="60"/>
      </w:pPr>
      <w:r>
        <w:t xml:space="preserve"/>
      </w:r>
    </w:p>
    <w:p>
      <w:pPr>
        <w:spacing w:after="140" w:line="288"/>
      </w:pPr>
      <w:r>
        <w:rPr>
          <w:color w:val="1F2933"/>
          <w:sz w:val="22"/>
          <w:szCs w:val="22"/>
        </w:rPr>
        <w:t xml:space="preserve">With one specialist per discipline working in parallel (~7 productive hours/day), calendar time is the longest single queue, not the sum of all hours: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Original agreement (content + bugs): ~6 weeks, as committed.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Full additional scope: backend is the critical path at ~24 weeks (823 hours). Frontend ~21 weeks. So the additional scope is a ~24-week (≈5.4-month) program with parallel help, or proportionally longer solo.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color w:val="1F2933"/>
          <w:sz w:val="21"/>
          <w:szCs w:val="21"/>
        </w:rPr>
        <w:t xml:space="preserve">Practical implication: the additional scope cannot be absorbed into the original 6-week window. It is a separate phase with its own schedule and price.</w:t>
      </w:r>
    </w:p>
    <w:p>
      <w:pPr>
        <w:spacing w:after="200" w:before="200"/>
      </w:pPr>
      <w:r>
        <w:t xml:space="preserve"/>
      </w:r>
    </w:p>
    <w:p>
      <w:pPr>
        <w:spacing w:after="140" w:line="288"/>
      </w:pPr>
      <w:r>
        <w:rPr>
          <w:i/>
          <w:iCs/>
          <w:color w:val="5B6B79"/>
          <w:sz w:val="18"/>
          <w:szCs w:val="18"/>
        </w:rPr>
        <w:t xml:space="preserve">Figures are indicative engineering effort for scoping, ex-GST (add 10% on invoice), and exclude content authoring, UAT and project management unless noted. Full per-item discipline hours are in the companion workbook “Bullyproof-Change-Request-Costing.xlsx”.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6"/>
      </w:pBdr>
      <w:tabs>
        <w:tab w:val="right" w:pos="9360"/>
      </w:tabs>
    </w:pPr>
    <w:r>
      <w:rPr>
        <w:color w:val="5B6B79"/>
        <w:sz w:val="16"/>
        <w:szCs w:val="16"/>
      </w:rPr>
      <w:t xml:space="preserve">Bullyproof — Discipline Costing &amp; Scope Split</w:t>
    </w:r>
    <w:r>
      <w:rPr>
        <w:color w:val="5B6B79"/>
        <w:sz w:val="16"/>
        <w:szCs w:val="16"/>
      </w:rPr>
      <w:t xml:space="preserve">	Page </w:t>
    </w:r>
    <w:r>
      <w:rPr>
        <w:color w:val="5B6B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2026-07-02T10:09:31.921Z</dcterms:created>
  <dcterms:modified xsi:type="dcterms:W3CDTF">2026-07-02T10:09:31.922Z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