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4F72"/>
          <w:sz w:val="36"/>
          <w:szCs w:val="36"/>
        </w:rPr>
        <w:t xml:space="preserve">BULLYPROOF — Change Request</w:t>
      </w:r>
    </w:p>
    <w:p>
      <w:r>
        <w:rPr>
          <w:color w:val="5B6B79"/>
          <w:sz w:val="19"/>
          <w:szCs w:val="19"/>
        </w:rPr>
        <w:t xml:space="preserve">One-page summary · gap analysis &amp; indicative pricing · 22 June 2026</w:t>
      </w:r>
    </w:p>
    <w:p>
      <w:pPr>
        <w:pBdr>
          <w:bottom w:val="single" w:color="2E75B6" w:sz="12" w:space="2"/>
        </w:pBdr>
        <w:spacing w:after="200" w:before="60"/>
      </w:pPr>
      <w:r>
        <w:t xml:space="preserve"/>
      </w:r>
    </w:p>
    <w:p>
      <w:pPr>
        <w:spacing w:after="140" w:line="276"/>
      </w:pPr>
      <w:r>
        <w:rPr>
          <w:color w:val="1F2933"/>
          <w:sz w:val="20"/>
          <w:szCs w:val="20"/>
        </w:rPr>
        <w:t xml:space="preserve">60 requested features across 14 areas. Indicative total </w:t>
      </w:r>
      <w:r>
        <w:rPr>
          <w:b/>
          <w:bCs/>
          <w:color w:val="1B4F72"/>
          <w:sz w:val="20"/>
          <w:szCs w:val="20"/>
        </w:rPr>
        <w:t xml:space="preserve">$349,250 AUD ex-GST</w:t>
      </w:r>
      <w:r>
        <w:rPr>
          <w:color w:val="1F2933"/>
          <w:sz w:val="20"/>
          <w:szCs w:val="20"/>
        </w:rPr>
        <w:t xml:space="preserve"> (~317.5 engineering days @ $1,100/day — the market contract rate for a senior full-stack React / Next.js developer billing direct as a company, AU FY25/26).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E8F6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40"/>
                <w:szCs w:val="40"/>
              </w:rPr>
              <w:t xml:space="preserve">7</w:t>
            </w:r>
          </w:p>
          <w:p>
            <w:pPr>
              <w:jc w:val="center"/>
            </w:pPr>
            <w:r>
              <w:rPr>
                <w:color w:val="5B6B79"/>
                <w:sz w:val="18"/>
                <w:szCs w:val="18"/>
              </w:rPr>
              <w:t xml:space="preserve">EXISTS</w:t>
            </w:r>
          </w:p>
        </w:tc>
        <w:tc>
          <w:tcPr>
            <w:tcW w:type="dxa" w:w="31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CF3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770E"/>
                <w:sz w:val="40"/>
                <w:szCs w:val="40"/>
              </w:rPr>
              <w:t xml:space="preserve">29</w:t>
            </w:r>
          </w:p>
          <w:p>
            <w:pPr>
              <w:jc w:val="center"/>
            </w:pPr>
            <w:r>
              <w:rPr>
                <w:color w:val="5B6B79"/>
                <w:sz w:val="18"/>
                <w:szCs w:val="18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BEA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03A2E"/>
                <w:sz w:val="40"/>
                <w:szCs w:val="40"/>
              </w:rPr>
              <w:t xml:space="preserve">24</w:t>
            </w:r>
          </w:p>
          <w:p>
            <w:pPr>
              <w:jc w:val="center"/>
            </w:pPr>
            <w:r>
              <w:rPr>
                <w:color w:val="5B6B79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220" w:before="220"/>
      </w:pPr>
      <w:r>
        <w:t xml:space="preserve"/>
      </w:r>
    </w:p>
    <w:p>
      <w:pPr>
        <w:spacing w:after="100"/>
      </w:pPr>
      <w:r>
        <w:rPr>
          <w:b/>
          <w:bCs/>
          <w:color w:val="1F2933"/>
          <w:sz w:val="22"/>
          <w:szCs w:val="22"/>
        </w:rPr>
        <w:t xml:space="preserve">Cost roll-up by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4500"/>
        <w:gridCol w:w="900"/>
        <w:gridCol w:w="900"/>
        <w:gridCol w:w="2300"/>
      </w:tblGrid>
      <w:tr>
        <w:trPr>
          <w:tblHeader/>
        </w:trP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Indicative price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A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Admin — Home / Dashboard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64.5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$70,950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B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School Terms / Schedule Engine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29.5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$32,450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C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Culture Rating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11.5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$12,650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D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Content Types (Multi-Curriculum)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29.5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$32,450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E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Content Management / Security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21.5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$23,650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F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Getting Started Videos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7.5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$8,250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G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Add New School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3.5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$3,850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H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Roles / Access Levels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$15,400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I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Branding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$13,200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J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AP Certificate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$12,100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K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Reports (Admin)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22.5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$24,750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L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20.5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$22,550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M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School Portal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62.5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$68,750</w:t>
            </w:r>
          </w:p>
        </w:tc>
      </w:tr>
      <w:tr>
        <w:tc>
          <w:tcPr>
            <w:tcW w:type="dxa" w:w="76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N</w:t>
            </w:r>
          </w:p>
        </w:tc>
        <w:tc>
          <w:tcPr>
            <w:tcW w:type="dxa" w:w="4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7.5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$8,250</w:t>
            </w:r>
          </w:p>
        </w:tc>
      </w:tr>
      <w:tr>
        <w:tc>
          <w:tcPr>
            <w:tcW w:type="dxa" w:w="5260"/>
            <w:gridSpan w:val="2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317.5</w:t>
            </w:r>
          </w:p>
        </w:tc>
        <w:tc>
          <w:tcPr>
            <w:tcW w:type="dxa" w:w="23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$349,250 AUD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80"/>
      </w:pPr>
      <w:r>
        <w:rPr>
          <w:b/>
          <w:bCs/>
          <w:color w:val="1F2933"/>
          <w:sz w:val="22"/>
          <w:szCs w:val="22"/>
        </w:rPr>
        <w:t xml:space="preserve">Where the cost is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933"/>
          <w:sz w:val="19"/>
          <w:szCs w:val="19"/>
        </w:rPr>
        <w:t xml:space="preserve">XL foundational: schedule engine (Items 3+12) + dependent dashboard columns (8); multi-curriculum content types (18). These two areas dominate.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933"/>
          <w:sz w:val="19"/>
          <w:szCs w:val="19"/>
        </w:rPr>
        <w:t xml:space="preserve">Large: program-year model (5), government reporting (36), BP→BA rebrand (31), content audit-log &amp; versioning (24/25), onboarding service-steps (38), certificate template (33), school &amp; admin reports (47/59), year-reset (54), performance comparison (56), documentation (60).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933"/>
          <w:sz w:val="19"/>
          <w:szCs w:val="19"/>
        </w:rPr>
        <w:t xml:space="preserve">Quick wins / already done: tooltips (46), class star toggle (50) and support mailto (58) are complete; test-school exclusion (37), Class Size on Add (42), remove Ctrl+K (44), header renames (45) and default-5-stars (55) are ≤1 day each.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933"/>
          <w:sz w:val="19"/>
          <w:szCs w:val="19"/>
        </w:rPr>
        <w:t xml:space="preserve">Two reported defects already appear fixed/near-trivial: address &amp; email-domain saving (39) and support mailto (58).</w:t>
      </w:r>
    </w:p>
    <w:p>
      <w:pPr>
        <w:spacing w:after="160" w:before="160"/>
      </w:pPr>
      <w:r>
        <w:t xml:space="preserve"/>
      </w:r>
    </w:p>
    <w:p>
      <w:r>
        <w:rPr>
          <w:i/>
          <w:iCs/>
          <w:color w:val="5B6B79"/>
          <w:sz w:val="17"/>
          <w:szCs w:val="17"/>
        </w:rPr>
        <w:t xml:space="preserve">Figures are indicative engineering effort for scoping, ex-GST (add 10% on invoice), excluding design, content authoring, UAT and PM unless noted. Full per-item detail in the companion document “Bullyproof — Change Request Gap Analysis &amp; Pricing”.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EC" w:sz="4" w:space="6"/>
      </w:pBdr>
      <w:tabs>
        <w:tab w:val="right" w:pos="10080"/>
      </w:tabs>
    </w:pPr>
    <w:r>
      <w:rPr>
        <w:color w:val="5B6B79"/>
        <w:sz w:val="15"/>
        <w:szCs w:val="15"/>
      </w:rPr>
      <w:t xml:space="preserve">Bullyproof — Change Request (summary)</w:t>
    </w:r>
    <w:r>
      <w:rPr>
        <w:color w:val="5B6B79"/>
        <w:sz w:val="15"/>
        <w:szCs w:val="15"/>
      </w:rPr>
      <w:t xml:space="preserve">	Page </w:t>
    </w:r>
    <w:r>
      <w:rPr>
        <w:color w:val="5B6B7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2026-06-22T14:01:24.538Z</dcterms:created>
  <dcterms:modified xsi:type="dcterms:W3CDTF">2026-06-22T14:01:24.538Z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