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A1A1A"/>
          <w:sz w:val="30"/>
          <w:szCs w:val="30"/>
        </w:rPr>
        <w:t xml:space="preserve">INTRADARK</w:t>
      </w:r>
    </w:p>
    <w:p>
      <w:pPr>
        <w:pBdr>
          <w:bottom w:val="single" w:color="008490" w:sz="10" w:space="6"/>
        </w:pBdr>
        <w:spacing w:after="6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Statement of Work — Completion &amp; Deliverables Register</w:t>
      </w:r>
    </w:p>
    <w:p>
      <w:pPr>
        <w:spacing w:after="160"/>
      </w:pPr>
      <w:r>
        <w:rPr>
          <w:i/>
          <w:iCs/>
          <w:color w:val="5A5A5A"/>
          <w:sz w:val="20"/>
          <w:szCs w:val="20"/>
        </w:rPr>
        <w:t xml:space="preserve">What the Agreement required, what is delivered, and the boundary on new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To:</w:t>
            </w:r>
          </w:p>
        </w:tc>
        <w:tc>
          <w:tcPr>
            <w:tcW w:type="dxa" w:w="7526"/>
            <w:tcBorders>
              <w:top w:val="none"/>
              <w:left w:val="none"/>
              <w:bottom w:val="none"/>
              <w:right w:val="none"/>
            </w:tcBorders>
            <w:tcMar>
              <w:top w:type="dxa" w:w="28"/>
              <w:left w:type="dxa" w:w="0"/>
              <w:bottom w:type="dxa" w:w="28"/>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From:</w:t>
            </w:r>
          </w:p>
        </w:tc>
        <w:tc>
          <w:tcPr>
            <w:tcW w:type="dxa" w:w="7526"/>
            <w:tcBorders>
              <w:top w:val="none"/>
              <w:left w:val="none"/>
              <w:bottom w:val="none"/>
              <w:right w:val="none"/>
            </w:tcBorders>
            <w:tcMar>
              <w:top w:type="dxa" w:w="28"/>
              <w:left w:type="dxa" w:w="0"/>
              <w:bottom w:type="dxa" w:w="28"/>
              <w:right w:type="dxa" w:w="0"/>
            </w:tcMar>
          </w:tcPr>
          <w:p>
            <w:r>
              <w:rPr>
                <w:b/>
                <w:bCs/>
                <w:color w:val="1A1A1A"/>
                <w:sz w:val="20"/>
                <w:szCs w:val="20"/>
              </w:rPr>
              <w:t xml:space="preserve">Aaron J. Girton</w:t>
            </w:r>
            <w:r>
              <w:rPr>
                <w:color w:val="5A5A5A"/>
                <w:sz w:val="19"/>
                <w:szCs w:val="19"/>
              </w:rPr>
              <w:t xml:space="preserve">  —  Director, Intradark Pty Ltd</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Date:</w:t>
            </w:r>
          </w:p>
        </w:tc>
        <w:tc>
          <w:tcPr>
            <w:tcW w:type="dxa" w:w="7526"/>
            <w:tcBorders>
              <w:top w:val="none"/>
              <w:left w:val="none"/>
              <w:bottom w:val="none"/>
              <w:right w:val="none"/>
            </w:tcBorders>
            <w:tcMar>
              <w:top w:type="dxa" w:w="28"/>
              <w:left w:type="dxa" w:w="0"/>
              <w:bottom w:type="dxa" w:w="28"/>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8"/>
              <w:left w:type="dxa" w:w="0"/>
              <w:bottom w:type="dxa" w:w="28"/>
              <w:right w:type="dxa" w:w="80"/>
            </w:tcMar>
          </w:tcPr>
          <w:p>
            <w:r>
              <w:rPr>
                <w:b/>
                <w:bCs/>
                <w:color w:val="5A5A5A"/>
                <w:sz w:val="18"/>
                <w:szCs w:val="18"/>
              </w:rPr>
              <w:t xml:space="preserve">Re:</w:t>
            </w:r>
          </w:p>
        </w:tc>
        <w:tc>
          <w:tcPr>
            <w:tcW w:type="dxa" w:w="7526"/>
            <w:tcBorders>
              <w:top w:val="none"/>
              <w:left w:val="none"/>
              <w:bottom w:val="none"/>
              <w:right w:val="none"/>
            </w:tcBorders>
            <w:tcMar>
              <w:top w:type="dxa" w:w="28"/>
              <w:left w:type="dxa" w:w="0"/>
              <w:bottom w:type="dxa" w:w="28"/>
              <w:right w:type="dxa" w:w="0"/>
            </w:tcMar>
          </w:tcPr>
          <w:p>
            <w:r>
              <w:rPr>
                <w:color w:val="1A1A1A"/>
                <w:sz w:val="19"/>
                <w:szCs w:val="19"/>
              </w:rPr>
              <w:t xml:space="preserve">Conformance of the delivered platform to the Formal Variation Agreement and Statement of Work (Schedule 1)</w:t>
            </w:r>
          </w:p>
        </w:tc>
      </w:tr>
    </w:tbl>
    <w:p>
      <w:pPr>
        <w:spacing w:after="80"/>
      </w:pPr>
    </w:p>
    <w:p>
      <w:pPr>
        <w:spacing w:after="120" w:before="0" w:line="264"/>
      </w:pPr>
      <w:r>
        <w:rPr>
          <w:color w:val="1A1A1A"/>
          <w:sz w:val="22"/>
          <w:szCs w:val="22"/>
        </w:rPr>
        <w:t xml:space="preserve">Glenn,</w:t>
      </w:r>
    </w:p>
    <w:p>
      <w:pPr>
        <w:spacing w:after="120" w:before="0" w:line="264"/>
      </w:pPr>
      <w:r>
        <w:rPr>
          <w:color w:val="1A1A1A"/>
          <w:sz w:val="21"/>
          <w:szCs w:val="21"/>
        </w:rPr>
        <w:t xml:space="preserve">This register sets out the deliverables defined by the </w:t>
      </w:r>
      <w:r>
        <w:rPr>
          <w:i/>
          <w:iCs/>
          <w:color w:val="1A1A1A"/>
          <w:sz w:val="21"/>
          <w:szCs w:val="21"/>
        </w:rPr>
        <w:t xml:space="preserve">Formal Variation Agreement</w:t>
      </w:r>
      <w:r>
        <w:rPr>
          <w:color w:val="1A1A1A"/>
          <w:sz w:val="21"/>
          <w:szCs w:val="21"/>
        </w:rPr>
        <w:t xml:space="preserve"> and the </w:t>
      </w:r>
      <w:r>
        <w:rPr>
          <w:i/>
          <w:iCs/>
          <w:color w:val="1A1A1A"/>
          <w:sz w:val="21"/>
          <w:szCs w:val="21"/>
        </w:rPr>
        <w:t xml:space="preserve">Software Development Agreement / Statement of Work</w:t>
      </w:r>
      <w:r>
        <w:rPr>
          <w:color w:val="1A1A1A"/>
          <w:sz w:val="21"/>
          <w:szCs w:val="21"/>
        </w:rPr>
        <w:t xml:space="preserve"> it attaches as Schedule 1, and the delivery status of each against the current build. It accompanies the Scope Review &amp; Change Request, and exists to fix one thing clearly: the line between what the Agreement obliges, and what is new work.</w:t>
      </w:r>
    </w:p>
    <w:p>
      <w:pPr>
        <w:pBdr>
          <w:left w:val="single" w:color="008490" w:sz="18" w:space="12"/>
        </w:pBdr>
        <w:shd w:fill="EAF4F5" w:val="clear"/>
        <w:spacing w:after="120" w:before="40" w:line="264"/>
      </w:pPr>
      <w:r>
        <w:rPr>
          <w:b/>
          <w:bCs/>
          <w:color w:val="1A1A1A"/>
          <w:sz w:val="21"/>
          <w:szCs w:val="21"/>
        </w:rPr>
        <w:t xml:space="preserve">Two principles govern this register.</w:t>
      </w:r>
      <w:r>
        <w:rPr>
          <w:color w:val="1A1A1A"/>
          <w:sz w:val="21"/>
          <w:szCs w:val="21"/>
        </w:rPr>
        <w:t xml:space="preserve">  First — the deliverables are those written in the Variation and the SOW. Where the SOW describes a requirement in general terms, a working implementation of that requirement discharges it; later, more detailed specifications of the same feature are additional, not clarifications. Second — functionality present in the codebase but not named in the Agreement is </w:t>
      </w:r>
      <w:r>
        <w:rPr>
          <w:b/>
          <w:bCs/>
          <w:i/>
          <w:iCs/>
          <w:color w:val="1A1A1A"/>
          <w:sz w:val="21"/>
          <w:szCs w:val="21"/>
        </w:rPr>
        <w:t xml:space="preserve">not</w:t>
      </w:r>
      <w:r>
        <w:rPr>
          <w:color w:val="1A1A1A"/>
          <w:sz w:val="21"/>
          <w:szCs w:val="21"/>
        </w:rPr>
        <w:t xml:space="preserve"> a contractual deliverable. Some of it was built only to manage a moving set of requests during delivery. Its existence confers no entitlement and cannot be used as a base for further requests at no charge.</w:t>
      </w:r>
    </w:p>
    <w:p>
      <w:pPr>
        <w:pStyle w:val="Heading1"/>
        <w:pBdr>
          <w:bottom w:val="single" w:color="008490" w:sz="6" w:space="4"/>
        </w:pBdr>
        <w:spacing w:after="120" w:before="300"/>
      </w:pPr>
      <w:r>
        <w:rPr>
          <w:rFonts w:ascii="Arial" w:cs="Arial" w:eastAsia="Arial" w:hAnsi="Arial"/>
          <w:b/>
          <w:bCs/>
          <w:color w:val="008490"/>
          <w:sz w:val="26"/>
          <w:szCs w:val="26"/>
        </w:rPr>
        <w:t xml:space="preserve">1.  Deliverables register</w:t>
      </w:r>
    </w:p>
    <w:p>
      <w:pPr>
        <w:spacing w:after="100" w:before="0" w:line="264"/>
      </w:pPr>
      <w:r>
        <w:rPr>
          <w:color w:val="1A1A1A"/>
          <w:sz w:val="21"/>
          <w:szCs w:val="21"/>
        </w:rPr>
        <w:t xml:space="preserve">Status is one of </w:t>
      </w:r>
      <w:r>
        <w:rPr>
          <w:b/>
          <w:bCs/>
          <w:color w:val="1B7A3D"/>
          <w:sz w:val="21"/>
          <w:szCs w:val="21"/>
        </w:rPr>
        <w:t xml:space="preserve">Delivered</w:t>
      </w:r>
      <w:r>
        <w:rPr>
          <w:color w:val="1A1A1A"/>
          <w:sz w:val="21"/>
          <w:szCs w:val="21"/>
        </w:rPr>
        <w:t xml:space="preserve"> or </w:t>
      </w:r>
      <w:r>
        <w:rPr>
          <w:b/>
          <w:bCs/>
          <w:color w:val="B5651D"/>
          <w:sz w:val="21"/>
          <w:szCs w:val="21"/>
        </w:rPr>
        <w:t xml:space="preserve">Finishing — in scope</w:t>
      </w:r>
      <w:r>
        <w:rPr>
          <w:color w:val="1A1A1A"/>
          <w:sz w:val="21"/>
          <w:szCs w:val="21"/>
        </w:rPr>
        <w:t xml:space="preserve"> (a remaining SOW deliverable being completed at no additional charge; see Section 2). Evidence cites the implementing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820"/>
        <w:gridCol w:w="1660"/>
        <w:gridCol w:w="2496"/>
      </w:tblGrid>
      <w:tr>
        <w:trPr>
          <w:tblHeader/>
        </w:trPr>
        <w:tc>
          <w:tcPr>
            <w:tcW w:type="dxa" w:w="3050"/>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Deliverable</w:t>
            </w:r>
          </w:p>
        </w:tc>
        <w:tc>
          <w:tcPr>
            <w:tcW w:type="dxa" w:w="1820"/>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Source</w:t>
            </w:r>
          </w:p>
        </w:tc>
        <w:tc>
          <w:tcPr>
            <w:tcW w:type="dxa" w:w="1660"/>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Status</w:t>
            </w:r>
          </w:p>
        </w:tc>
        <w:tc>
          <w:tcPr>
            <w:tcW w:type="dxa" w:w="2496"/>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Evidence in the build</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Authentication &amp; Onboarding</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Email OTP login</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5.1.1 / 8.1.1</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signInWithOtp; auth-form.tsx; InputOTP</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~60-day OTP expiry (ST4S)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5.1.1 / 7.1.3</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B5651D"/>
                <w:sz w:val="18"/>
                <w:szCs w:val="18"/>
              </w:rPr>
              <w:t xml:space="preserve">Finishing — config</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supabase/config.toml (otp_expiry)</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Invite-only school onboarding (no self-signup)</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5.1.1 / 8.1.1</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invitesService.createInvite; school.service.createSchool; add-school-wizard</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Templated onboarding / OTP email</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5.1.1 / D4</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server/lib/email.ts (Supabase email; Twilio reserved for SMS)</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Learning Management System</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Flexible course system, sequential lessons</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5.1.2 / 8.1.2</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certification courses; course-topics</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Quiz functionality + completion tracking</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5.1.2</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quiz-* repos; topic-quiz-completions</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Certificate on completion, in profile</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5.1.2 / 8.1.2</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TopicCertificate; markCertificateIssued (downloadable artifact being added)</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Classroom Delivery</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Slide-based lesson delivery</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5.1.3 / 8.1.3</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lesson-wizard; run-lesson</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Default Bullyproof notes + teacher notes</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5.1.3</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v_lesson_slides_effective</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Preview / prepare flow</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5.1.3</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lessons/[id]/prepare</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Mark complete + mandatory rating</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5.1.3 / 15.1.3</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LessonFeedbackForm; lesson_feedback (required)</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Admin Panels</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Bullyproof Admin (content, users, reporting, culture)</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5.1.4.1 / 8.1.4</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app/(main)/admin/*</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School Admin panel</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5.1.4.2 / 8.1.4</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app/(main)/schools/[school_id]/*</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Oversight into school panels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5.1.4.1</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school detail drawer / panels</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Reporting</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Role dashboards — teacher, school admin, Bullyproof</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5.1.5 / cl 10</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dashboard/*; admin/reports</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Government view-only dashboard</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5.1.5</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B5651D"/>
                <w:sz w:val="18"/>
                <w:szCs w:val="18"/>
              </w:rPr>
              <w:t xml:space="preserve">Finishing — in scope</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government-dashboard (stub → build)</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CSV / PDF export</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5.1.5 / 8.1.5</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B5651D"/>
                <w:sz w:val="18"/>
                <w:szCs w:val="18"/>
              </w:rPr>
              <w:t xml:space="preserve">Finishing — in scope</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xlsx / pdf-lib present; export to be wired</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Culture Rating</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Data entry — all inputs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Variation cl 9 / SOW 5.1.6</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culture-rating-metrics-fields</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Calculations incl. zero-input weighting</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Variation cl 9</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lib/culture-rating-math.ts (final Woodford weighting pending your input)</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Benchmark + comparative tracking &amp; rules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Variation cl 9</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schoolCultureBenchmarks; comparativePeriods</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Comparison view + gauge</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Variation cl 9</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culture-rating-comparison-dashboard</w:t>
            </w:r>
          </w:p>
        </w:tc>
      </w:tr>
      <w:tr>
        <w:tc>
          <w:tcPr>
            <w:tcW w:type="dxa" w:w="9026"/>
            <w:gridSpan w:val="4"/>
            <w:tcBorders>
              <w:top w:val="single" w:color="C9C9C9" w:sz="1"/>
              <w:left w:val="single" w:color="C9C9C9" w:sz="1"/>
              <w:bottom w:val="single" w:color="C9C9C9" w:sz="1"/>
              <w:right w:val="single" w:color="C9C9C9" w:sz="1"/>
            </w:tcBorders>
            <w:shd w:fill="DCEDEF" w:val="clear"/>
            <w:tcMar>
              <w:top w:type="dxa" w:w="50"/>
              <w:left w:type="dxa" w:w="100"/>
              <w:bottom w:type="dxa" w:w="50"/>
              <w:right w:type="dxa" w:w="100"/>
            </w:tcMar>
          </w:tcPr>
          <w:p>
            <w:r>
              <w:rPr>
                <w:b/>
                <w:bCs/>
                <w:color w:val="00484F"/>
                <w:sz w:val="19"/>
                <w:szCs w:val="19"/>
              </w:rPr>
              <w:t xml:space="preserve">Deliverables &amp; Handover</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D1 — Functional spec &amp; UI wireframes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8.B</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docs/ design set</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D2 — Working portal (MVP → final)</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8.B</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the platform</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D3 — LMS with sample course</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8.B</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certification course content</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D4 — Integration connectors</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8.B</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Supabase, email, YouTube</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D5 — Source code + build / deploy scripts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SOW 8.B / cl 6</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B7A3D"/>
                <w:sz w:val="18"/>
                <w:szCs w:val="18"/>
              </w:rPr>
              <w:t xml:space="preserve">Delivered</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repository; CI</w:t>
            </w:r>
          </w:p>
        </w:tc>
      </w:tr>
      <w:tr>
        <w:tc>
          <w:tcPr>
            <w:tcW w:type="dxa" w:w="305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D6 — Documentation set (admin / user / tech)</w:t>
            </w:r>
          </w:p>
        </w:tc>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i/>
                <w:iCs/>
                <w:color w:val="008490"/>
                <w:sz w:val="18"/>
                <w:szCs w:val="18"/>
              </w:rPr>
              <w:t xml:space="preserve">SOW 8.1.7 / cl 6</w:t>
            </w:r>
          </w:p>
        </w:tc>
        <w:tc>
          <w:tcPr>
            <w:tcW w:type="dxa" w:w="166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B5651D"/>
                <w:sz w:val="18"/>
                <w:szCs w:val="18"/>
              </w:rPr>
              <w:t xml:space="preserve">Finishing — in scope</w:t>
            </w:r>
          </w:p>
        </w:tc>
        <w:tc>
          <w:tcPr>
            <w:tcW w:type="dxa" w:w="249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being authored</w:t>
            </w:r>
          </w:p>
        </w:tc>
      </w:tr>
      <w:tr>
        <w:tc>
          <w:tcPr>
            <w:tcW w:type="dxa" w:w="305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D7 — Bill of Materials (OSS licences)</w:t>
            </w:r>
          </w:p>
        </w:tc>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i/>
                <w:iCs/>
                <w:color w:val="008490"/>
                <w:sz w:val="18"/>
                <w:szCs w:val="18"/>
              </w:rPr>
              <w:t xml:space="preserve">SDA 4.4</w:t>
            </w:r>
          </w:p>
        </w:tc>
        <w:tc>
          <w:tcPr>
            <w:tcW w:type="dxa" w:w="166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B5651D"/>
                <w:sz w:val="18"/>
                <w:szCs w:val="18"/>
              </w:rPr>
              <w:t xml:space="preserve">Finishing — at Final Delivery</w:t>
            </w:r>
          </w:p>
        </w:tc>
        <w:tc>
          <w:tcPr>
            <w:tcW w:type="dxa" w:w="249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to supply at handover</w:t>
            </w:r>
          </w:p>
        </w:tc>
      </w:tr>
    </w:tbl>
    <w:p>
      <w:pPr>
        <w:pStyle w:val="Heading1"/>
        <w:pBdr>
          <w:bottom w:val="single" w:color="008490" w:sz="6" w:space="4"/>
        </w:pBdr>
        <w:spacing w:after="120" w:before="300"/>
      </w:pPr>
      <w:r>
        <w:rPr>
          <w:rFonts w:ascii="Arial" w:cs="Arial" w:eastAsia="Arial" w:hAnsi="Arial"/>
          <w:b/>
          <w:bCs/>
          <w:color w:val="008490"/>
          <w:sz w:val="26"/>
          <w:szCs w:val="26"/>
        </w:rPr>
        <w:t xml:space="preserve">2.  Remaining SOW deliverables — being completed at no charge</w:t>
      </w:r>
    </w:p>
    <w:p>
      <w:pPr>
        <w:spacing w:after="80" w:before="0" w:line="264"/>
      </w:pPr>
      <w:r>
        <w:rPr>
          <w:color w:val="1A1A1A"/>
          <w:sz w:val="21"/>
          <w:szCs w:val="21"/>
        </w:rPr>
        <w:t xml:space="preserve">For completeness, the items above marked “Finishing” are genuine SOW obligations not yet fully delivered. They are included in the engagement and are being completed at no additional charge:</w:t>
      </w:r>
    </w:p>
    <w:p>
      <w:pPr>
        <w:pStyle w:val="ListParagraph"/>
        <w:numPr>
          <w:ilvl w:val="0"/>
          <w:numId w:val="2"/>
        </w:numPr>
        <w:spacing w:after="70" w:line="264"/>
      </w:pPr>
      <w:r>
        <w:rPr>
          <w:color w:val="1A1A1A"/>
          <w:sz w:val="21"/>
          <w:szCs w:val="21"/>
        </w:rPr>
        <w:t xml:space="preserve">Government view-only reporting dashboard (currently a stub).</w:t>
      </w:r>
    </w:p>
    <w:p>
      <w:pPr>
        <w:pStyle w:val="ListParagraph"/>
        <w:numPr>
          <w:ilvl w:val="0"/>
          <w:numId w:val="2"/>
        </w:numPr>
        <w:spacing w:after="70" w:line="264"/>
      </w:pPr>
      <w:r>
        <w:rPr>
          <w:color w:val="1A1A1A"/>
          <w:sz w:val="21"/>
          <w:szCs w:val="21"/>
        </w:rPr>
        <w:t xml:space="preserve">CSV / PDF export across the reporting roles.</w:t>
      </w:r>
    </w:p>
    <w:p>
      <w:pPr>
        <w:pStyle w:val="ListParagraph"/>
        <w:numPr>
          <w:ilvl w:val="0"/>
          <w:numId w:val="2"/>
        </w:numPr>
        <w:spacing w:after="70" w:line="264"/>
      </w:pPr>
      <w:r>
        <w:rPr>
          <w:color w:val="1A1A1A"/>
          <w:sz w:val="21"/>
          <w:szCs w:val="21"/>
        </w:rPr>
        <w:t xml:space="preserve">Downloadable AP certificate artifact (the certificate is generated on completion today).</w:t>
      </w:r>
    </w:p>
    <w:p>
      <w:pPr>
        <w:pStyle w:val="ListParagraph"/>
        <w:numPr>
          <w:ilvl w:val="0"/>
          <w:numId w:val="2"/>
        </w:numPr>
        <w:spacing w:after="70" w:line="264"/>
      </w:pPr>
      <w:r>
        <w:rPr>
          <w:color w:val="1A1A1A"/>
          <w:sz w:val="21"/>
          <w:szCs w:val="21"/>
        </w:rPr>
        <w:t xml:space="preserve">Administrator / user / technical documentation, and the Bill of Materials, at handover.</w:t>
      </w:r>
    </w:p>
    <w:p>
      <w:pPr>
        <w:pStyle w:val="ListParagraph"/>
        <w:numPr>
          <w:ilvl w:val="0"/>
          <w:numId w:val="2"/>
        </w:numPr>
        <w:spacing w:after="70" w:line="264"/>
      </w:pPr>
      <w:r>
        <w:rPr>
          <w:color w:val="1A1A1A"/>
          <w:sz w:val="21"/>
          <w:szCs w:val="21"/>
        </w:rPr>
        <w:t xml:space="preserve">Final culture-rating weighting — applied once you supply the official Woodford mapping.</w:t>
      </w:r>
    </w:p>
    <w:p>
      <w:pPr>
        <w:pStyle w:val="ListParagraph"/>
        <w:numPr>
          <w:ilvl w:val="0"/>
          <w:numId w:val="2"/>
        </w:numPr>
        <w:spacing w:after="70" w:line="264"/>
      </w:pPr>
      <w:r>
        <w:rPr>
          <w:color w:val="1A1A1A"/>
          <w:sz w:val="21"/>
          <w:szCs w:val="21"/>
        </w:rPr>
        <w:t xml:space="preserve">OTP expiry set to ~60 days (ST4S).</w:t>
      </w:r>
    </w:p>
    <w:p>
      <w:pPr>
        <w:spacing w:after="60" w:before="40" w:line="264"/>
      </w:pPr>
      <w:r>
        <w:rPr>
          <w:color w:val="1A1A1A"/>
          <w:sz w:val="21"/>
          <w:szCs w:val="21"/>
        </w:rPr>
        <w:t xml:space="preserve">Naming these plainly is deliberate: the Agreement is honoured in full, and the line below — that everything specified beyond these obligations is additional — stands on that honesty.</w:t>
      </w:r>
    </w:p>
    <w:p>
      <w:pPr>
        <w:pStyle w:val="Heading1"/>
        <w:pBdr>
          <w:bottom w:val="single" w:color="008490" w:sz="6" w:space="4"/>
        </w:pBdr>
        <w:spacing w:after="120" w:before="300"/>
      </w:pPr>
      <w:r>
        <w:rPr>
          <w:rFonts w:ascii="Arial" w:cs="Arial" w:eastAsia="Arial" w:hAnsi="Arial"/>
          <w:b/>
          <w:bCs/>
          <w:color w:val="008490"/>
          <w:sz w:val="26"/>
          <w:szCs w:val="26"/>
        </w:rPr>
        <w:t xml:space="preserve">3.  Genuine defects — fixed at no charge</w:t>
      </w:r>
    </w:p>
    <w:p>
      <w:pPr>
        <w:spacing w:after="80" w:before="0" w:line="264"/>
      </w:pPr>
      <w:r>
        <w:rPr>
          <w:color w:val="1A1A1A"/>
          <w:sz w:val="21"/>
          <w:szCs w:val="21"/>
        </w:rPr>
        <w:t xml:space="preserve">I fix genuine defects for free — a defect being a fault in functionality the Agreement required and I delivered (SDA Warranty cl 8.1(b), 90-day cover; Variation cl 7.3). The following are genuine and are being fixed at no cost:</w:t>
      </w:r>
    </w:p>
    <w:p>
      <w:pPr>
        <w:pStyle w:val="ListParagraph"/>
        <w:numPr>
          <w:ilvl w:val="0"/>
          <w:numId w:val="2"/>
        </w:numPr>
        <w:spacing w:after="70" w:line="264"/>
      </w:pPr>
      <w:r>
        <w:rPr>
          <w:b/>
          <w:bCs/>
          <w:color w:val="1A1A1A"/>
          <w:sz w:val="21"/>
          <w:szCs w:val="21"/>
        </w:rPr>
        <w:t xml:space="preserve">School Address &amp; Email Domain not saving on edit (39)</w:t>
      </w:r>
      <w:r>
        <w:rPr>
          <w:color w:val="1A1A1A"/>
          <w:sz w:val="21"/>
          <w:szCs w:val="21"/>
        </w:rPr>
        <w:t xml:space="preserve"> — the persistence chain is intact and it appears already resolved; verifying / regression only.</w:t>
      </w:r>
    </w:p>
    <w:p>
      <w:pPr>
        <w:pStyle w:val="ListParagraph"/>
        <w:numPr>
          <w:ilvl w:val="0"/>
          <w:numId w:val="2"/>
        </w:numPr>
        <w:spacing w:after="70" w:line="264"/>
      </w:pPr>
      <w:r>
        <w:rPr>
          <w:b/>
          <w:bCs/>
          <w:color w:val="1A1A1A"/>
          <w:sz w:val="21"/>
          <w:szCs w:val="21"/>
        </w:rPr>
        <w:t xml:space="preserve">Wrong recommended lesson for mixed-level classes, and the list capped at three (53)</w:t>
      </w:r>
      <w:r>
        <w:rPr>
          <w:color w:val="1A1A1A"/>
          <w:sz w:val="21"/>
          <w:szCs w:val="21"/>
        </w:rPr>
        <w:t xml:space="preserve"> — genuine faults in the delivered recommendation feature.</w:t>
      </w:r>
    </w:p>
    <w:p>
      <w:pPr>
        <w:pStyle w:val="ListParagraph"/>
        <w:numPr>
          <w:ilvl w:val="0"/>
          <w:numId w:val="2"/>
        </w:numPr>
        <w:spacing w:after="70" w:line="264"/>
      </w:pPr>
      <w:r>
        <w:rPr>
          <w:b/>
          <w:bCs/>
          <w:color w:val="1A1A1A"/>
          <w:sz w:val="21"/>
          <w:szCs w:val="21"/>
        </w:rPr>
        <w:t xml:space="preserve">Teach Lessons — blank screen when a recommendation resolves to nothing, and “Back to lesson” looping to Prepare for completed lessons (51)</w:t>
      </w:r>
      <w:r>
        <w:rPr>
          <w:color w:val="1A1A1A"/>
          <w:sz w:val="21"/>
          <w:szCs w:val="21"/>
        </w:rPr>
        <w:t xml:space="preserve"> — genuine faults; a clear message and the correct return path.</w:t>
      </w:r>
    </w:p>
    <w:p>
      <w:pPr>
        <w:pStyle w:val="ListParagraph"/>
        <w:numPr>
          <w:ilvl w:val="0"/>
          <w:numId w:val="2"/>
        </w:numPr>
        <w:spacing w:after="70" w:line="264"/>
      </w:pPr>
      <w:r>
        <w:rPr>
          <w:b/>
          <w:bCs/>
          <w:color w:val="1A1A1A"/>
          <w:sz w:val="21"/>
          <w:szCs w:val="21"/>
        </w:rPr>
        <w:t xml:space="preserve">Apply Template gives no confirmation it applied (40)</w:t>
      </w:r>
      <w:r>
        <w:rPr>
          <w:color w:val="1A1A1A"/>
          <w:sz w:val="21"/>
          <w:szCs w:val="21"/>
        </w:rPr>
        <w:t xml:space="preserve"> — adding the success feedback that should fire on apply.</w:t>
      </w:r>
    </w:p>
    <w:p>
      <w:pPr>
        <w:pBdr>
          <w:left w:val="single" w:color="008490" w:sz="18" w:space="12"/>
        </w:pBdr>
        <w:shd w:fill="EAF4F5" w:val="clear"/>
        <w:spacing w:after="120" w:before="40" w:line="264"/>
      </w:pPr>
      <w:r>
        <w:rPr>
          <w:b/>
          <w:bCs/>
          <w:color w:val="1A1A1A"/>
          <w:sz w:val="21"/>
          <w:szCs w:val="21"/>
        </w:rPr>
        <w:t xml:space="preserve">What is not a defect. </w:t>
      </w:r>
      <w:r>
        <w:rPr>
          <w:color w:val="1A1A1A"/>
          <w:sz w:val="21"/>
          <w:szCs w:val="21"/>
        </w:rPr>
        <w:t xml:space="preserve">A defect is a fault in a delivered feature — not a request to redesign a working one, or to build something that was never there. Several items in the 22 June review are framed as “defects” or “issues” but are new requirements: a persistent “Template Active” badge that remembers which schools already have it (40); the school Activity timeline (41 — the Licence and Feature-Access buttons already work); rebuilding the lesson-history page from placeholder into a live history (51); and composite / multi-level class handling beyond a guidance message (51, 53). These are enhancements under cl 11(2) and appear in Section 4 — they are not warranty fixes.</w:t>
      </w:r>
    </w:p>
    <w:p>
      <w:pPr>
        <w:pStyle w:val="Heading1"/>
        <w:pBdr>
          <w:bottom w:val="single" w:color="008490" w:sz="6" w:space="4"/>
        </w:pBdr>
        <w:spacing w:after="120" w:before="300"/>
      </w:pPr>
      <w:r>
        <w:rPr>
          <w:rFonts w:ascii="Arial" w:cs="Arial" w:eastAsia="Arial" w:hAnsi="Arial"/>
          <w:b/>
          <w:bCs/>
          <w:color w:val="008490"/>
          <w:sz w:val="26"/>
          <w:szCs w:val="26"/>
        </w:rPr>
        <w:t xml:space="preserve">4.  Additional work requested — mapped to the delivered areas</w:t>
      </w:r>
    </w:p>
    <w:p>
      <w:pPr>
        <w:spacing w:after="100" w:before="0" w:line="264"/>
      </w:pPr>
      <w:r>
        <w:rPr>
          <w:color w:val="1A1A1A"/>
          <w:sz w:val="21"/>
          <w:szCs w:val="21"/>
        </w:rPr>
        <w:t xml:space="preserve">The Agreement treats minor refinements and cosmetic labelling [text/string] as included; anything beyond that — enhancements and new functionality outside the defined scope — is additional (</w:t>
      </w:r>
      <w:r>
        <w:rPr>
          <w:i/>
          <w:iCs/>
          <w:color w:val="1A1A1A"/>
          <w:sz w:val="21"/>
          <w:szCs w:val="21"/>
        </w:rPr>
        <w:t xml:space="preserve">Variation cl 11(2)</w:t>
      </w:r>
      <w:r>
        <w:rPr>
          <w:color w:val="1A1A1A"/>
          <w:sz w:val="21"/>
          <w:szCs w:val="21"/>
        </w:rPr>
        <w:t xml:space="preserve">). Set against the delivered areas in Section 1, your 22 June review layers the following new work on top of features that are already built. This is well beyond minor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0"/>
        <w:gridCol w:w="2900"/>
        <w:gridCol w:w="4306"/>
      </w:tblGrid>
      <w:tr>
        <w:trPr>
          <w:tblHeader/>
        </w:trPr>
        <w:tc>
          <w:tcPr>
            <w:tcW w:type="dxa" w:w="1820"/>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Area</w:t>
            </w:r>
          </w:p>
        </w:tc>
        <w:tc>
          <w:tcPr>
            <w:tcW w:type="dxa" w:w="2900"/>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Delivered (Section 1)</w:t>
            </w:r>
          </w:p>
        </w:tc>
        <w:tc>
          <w:tcPr>
            <w:tcW w:type="dxa" w:w="4306"/>
            <w:tcBorders>
              <w:top w:val="single" w:color="C9C9C9" w:sz="1"/>
              <w:left w:val="single" w:color="C9C9C9" w:sz="1"/>
              <w:bottom w:val="single" w:color="C9C9C9" w:sz="1"/>
              <w:right w:val="single" w:color="C9C9C9" w:sz="1"/>
            </w:tcBorders>
            <w:shd w:fill="00626B" w:val="clear"/>
            <w:tcMar>
              <w:top w:type="dxa" w:w="60"/>
              <w:left w:type="dxa" w:w="100"/>
              <w:bottom w:type="dxa" w:w="60"/>
              <w:right w:type="dxa" w:w="100"/>
            </w:tcMar>
            <w:vAlign w:val="center"/>
          </w:tcPr>
          <w:p>
            <w:r>
              <w:rPr>
                <w:b/>
                <w:bCs/>
                <w:color w:val="FFFFFF"/>
                <w:sz w:val="18"/>
                <w:szCs w:val="18"/>
              </w:rPr>
              <w:t xml:space="preserve">Additional now requested — beyond minor revision</w:t>
            </w:r>
          </w:p>
        </w:tc>
      </w:tr>
      <w:tr>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A1A1A"/>
                <w:sz w:val="18"/>
                <w:szCs w:val="18"/>
              </w:rPr>
              <w:t xml:space="preserve">Authentication, Onboarding &amp; Access</w:t>
            </w:r>
          </w:p>
        </w:tc>
        <w:tc>
          <w:tcPr>
            <w:tcW w:type="dxa" w:w="290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OTP login, invite-only onboarding, role-based access</w:t>
            </w:r>
          </w:p>
        </w:tc>
        <w:tc>
          <w:tcPr>
            <w:tcW w:type="dxa" w:w="430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Onboarding service-step checklist + completion dates (38); “Other” school level / arbitrary grade mixes (27); School-Licence user management (30); Class Size on Add Class (42); “Amayda” access tier above Bullyproof Admin (29); role-based Getting Started videos — autoplay &amp; replace (26)</w:t>
            </w:r>
          </w:p>
        </w:tc>
      </w:tr>
      <w:tr>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A1A1A"/>
                <w:sz w:val="18"/>
                <w:szCs w:val="18"/>
              </w:rPr>
              <w:t xml:space="preserve">LMS / AP Certification</w:t>
            </w:r>
          </w:p>
        </w:tc>
        <w:tc>
          <w:tcPr>
            <w:tcW w:type="dxa" w:w="290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Courses, sequential lessons, quizzes, certificate on completion</w:t>
            </w:r>
          </w:p>
        </w:tc>
        <w:tc>
          <w:tcPr>
            <w:tcW w:type="dxa" w:w="430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Uploadable / replaceable certificate template with custom fields &amp; certificate number (33); course-level Start / Continue / Completed control (48)</w:t>
            </w:r>
          </w:p>
        </w:tc>
      </w:tr>
      <w:tr>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A1A1A"/>
                <w:sz w:val="18"/>
                <w:szCs w:val="18"/>
              </w:rPr>
              <w:t xml:space="preserve">Classroom Delivery</w:t>
            </w:r>
          </w:p>
        </w:tc>
        <w:tc>
          <w:tcPr>
            <w:tcW w:type="dxa" w:w="290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Slide delivery, notes, preview, mandatory rating</w:t>
            </w:r>
          </w:p>
        </w:tc>
        <w:tc>
          <w:tcPr>
            <w:tcW w:type="dxa" w:w="430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Sortable teacher table + extended take-over (49); unify Start-now vs Schedule + scheduling (52); “Start new calendar year” reset / promote / archive (54); default-to-5-stars option (55)</w:t>
            </w:r>
          </w:p>
        </w:tc>
      </w:tr>
      <w:tr>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A1A1A"/>
                <w:sz w:val="18"/>
                <w:szCs w:val="18"/>
              </w:rPr>
              <w:t xml:space="preserve">Admin Panel — Home page &amp; Schedule</w:t>
            </w:r>
          </w:p>
        </w:tc>
        <w:tc>
          <w:tcPr>
            <w:tcW w:type="dxa" w:w="290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Bullyproof &amp; School Admin panels</w:t>
            </w:r>
          </w:p>
        </w:tc>
        <w:tc>
          <w:tcPr>
            <w:tcW w:type="dxa" w:w="430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New program-health Home page — Active vs Total, the column set, filters &amp; drill-downs (1–9); per-state school-term calendars + entry form (10, 11); schedule calculation engine + Progress-to-Term-2 widget (12, 13); program-year / initial-vs-ongoing model + selector (4, 5); school Activity timeline (41)</w:t>
            </w:r>
          </w:p>
        </w:tc>
      </w:tr>
      <w:tr>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A1A1A"/>
                <w:sz w:val="18"/>
                <w:szCs w:val="18"/>
              </w:rPr>
              <w:t xml:space="preserve">Reporting</w:t>
            </w:r>
          </w:p>
        </w:tc>
        <w:tc>
          <w:tcPr>
            <w:tcW w:type="dxa" w:w="290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Role dashboards with CSV / PDF export</w:t>
            </w:r>
          </w:p>
        </w:tc>
        <w:tc>
          <w:tcPr>
            <w:tcW w:type="dxa" w:w="430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Four renamed report types + percentages (34); per-report filter panels, Excel export &amp; export scope (35); expanded government reporting beyond a view-only dashboard (36); school reports build (47); school-admin report set + year selectors (59); exclude test school (37)</w:t>
            </w:r>
          </w:p>
        </w:tc>
      </w:tr>
      <w:tr>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A1A1A"/>
                <w:sz w:val="18"/>
                <w:szCs w:val="18"/>
              </w:rPr>
              <w:t xml:space="preserve">Culture Rating</w:t>
            </w:r>
          </w:p>
        </w:tc>
        <w:tc>
          <w:tcPr>
            <w:tcW w:type="dxa" w:w="290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Data entry, calculations, benchmark / comparative, comparison view</w:t>
            </w:r>
          </w:p>
        </w:tc>
        <w:tc>
          <w:tcPr>
            <w:tcW w:type="dxa" w:w="430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Signed ±100 / 150 / 200% expanding speedometer, replacing the working gauge (17); performance page broadened beyond culture rating (56)</w:t>
            </w:r>
          </w:p>
        </w:tc>
      </w:tr>
      <w:tr>
        <w:tc>
          <w:tcPr>
            <w:tcW w:type="dxa" w:w="182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b/>
                <w:bCs/>
                <w:color w:val="1A1A1A"/>
                <w:sz w:val="18"/>
                <w:szCs w:val="18"/>
              </w:rPr>
              <w:t xml:space="preserve">Content Management &amp; Security</w:t>
            </w:r>
          </w:p>
        </w:tc>
        <w:tc>
          <w:tcPr>
            <w:tcW w:type="dxa" w:w="2900"/>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5A5A5A"/>
                <w:sz w:val="18"/>
                <w:szCs w:val="18"/>
              </w:rPr>
              <w:t xml:space="preserve">Content authoring under Bullyproof Admin</w:t>
            </w:r>
          </w:p>
        </w:tc>
        <w:tc>
          <w:tcPr>
            <w:tcW w:type="dxa" w:w="4306"/>
            <w:tcBorders>
              <w:top w:val="single" w:color="C9C9C9" w:sz="1"/>
              <w:left w:val="single" w:color="C9C9C9" w:sz="1"/>
              <w:bottom w:val="single" w:color="C9C9C9" w:sz="1"/>
              <w:right w:val="single" w:color="C9C9C9" w:sz="1"/>
            </w:tcBorders>
            <w:tcMar>
              <w:top w:type="dxa" w:w="46"/>
              <w:left w:type="dxa" w:w="100"/>
              <w:bottom w:type="dxa" w:w="46"/>
              <w:right w:type="dxa" w:w="100"/>
            </w:tcMar>
            <w:vAlign w:val="center"/>
          </w:tcPr>
          <w:p>
            <w:pPr>
              <w:spacing w:line="244"/>
            </w:pPr>
            <w:r>
              <w:rPr>
                <w:color w:val="1A1A1A"/>
                <w:sz w:val="18"/>
                <w:szCs w:val="18"/>
              </w:rPr>
              <w:t xml:space="preserve">Step-up MFA on content edits (22); sole-content-editor lock (23); content audit log (24); version numbering + updated-by + retention (25)</w:t>
            </w:r>
          </w:p>
        </w:tc>
      </w:tr>
      <w:tr>
        <w:tc>
          <w:tcPr>
            <w:tcW w:type="dxa" w:w="182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b/>
                <w:bCs/>
                <w:color w:val="1A1A1A"/>
                <w:sz w:val="18"/>
                <w:szCs w:val="18"/>
              </w:rPr>
              <w:t xml:space="preserve">Branding &amp; Portal Navigation</w:t>
            </w:r>
          </w:p>
        </w:tc>
        <w:tc>
          <w:tcPr>
            <w:tcW w:type="dxa" w:w="2900"/>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5A5A5A"/>
                <w:sz w:val="18"/>
                <w:szCs w:val="18"/>
              </w:rPr>
              <w:t xml:space="preserve">Working portal; static logo set</w:t>
            </w:r>
          </w:p>
        </w:tc>
        <w:tc>
          <w:tcPr>
            <w:tcW w:type="dxa" w:w="4306"/>
            <w:tcBorders>
              <w:top w:val="single" w:color="C9C9C9" w:sz="1"/>
              <w:left w:val="single" w:color="C9C9C9" w:sz="1"/>
              <w:bottom w:val="single" w:color="C9C9C9" w:sz="1"/>
              <w:right w:val="single" w:color="C9C9C9" w:sz="1"/>
            </w:tcBorders>
            <w:shd w:fill="EEF6F7" w:val="clear"/>
            <w:tcMar>
              <w:top w:type="dxa" w:w="46"/>
              <w:left w:type="dxa" w:w="100"/>
              <w:bottom w:type="dxa" w:w="46"/>
              <w:right w:type="dxa" w:w="100"/>
            </w:tcMar>
            <w:vAlign w:val="center"/>
          </w:tcPr>
          <w:p>
            <w:pPr>
              <w:spacing w:line="244"/>
            </w:pPr>
            <w:r>
              <w:rPr>
                <w:color w:val="1A1A1A"/>
                <w:sz w:val="18"/>
                <w:szCs w:val="18"/>
              </w:rPr>
              <w:t xml:space="preserve">BP→BA rebrand — animated logo + icon variants (31); role-based school-portal Home pages replacing the dashboard (43). (Removing the Ctrl+K menu, item 44, is no charge — see Section 5.)</w:t>
            </w:r>
          </w:p>
        </w:tc>
      </w:tr>
    </w:tbl>
    <w:p>
      <w:pPr>
        <w:spacing w:after="60" w:before="60" w:line="264"/>
      </w:pPr>
      <w:r>
        <w:rPr>
          <w:i/>
          <w:iCs/>
          <w:color w:val="5A5A5A"/>
          <w:sz w:val="18"/>
          <w:szCs w:val="18"/>
        </w:rPr>
        <w:t xml:space="preserve">Item numbers refer to your 22 June document. The Content Type (items 18–21) is handled separately under its own agreement and is not listed here.</w:t>
      </w:r>
    </w:p>
    <w:p>
      <w:pPr>
        <w:pStyle w:val="Heading1"/>
        <w:pBdr>
          <w:bottom w:val="single" w:color="008490" w:sz="6" w:space="4"/>
        </w:pBdr>
        <w:spacing w:after="120" w:before="300"/>
      </w:pPr>
      <w:r>
        <w:rPr>
          <w:rFonts w:ascii="Arial" w:cs="Arial" w:eastAsia="Arial" w:hAnsi="Arial"/>
          <w:b/>
          <w:bCs/>
          <w:color w:val="008490"/>
          <w:sz w:val="26"/>
          <w:szCs w:val="26"/>
        </w:rPr>
        <w:t xml:space="preserve">5.  Built beyond the Agreement — not contractual deliverables</w:t>
      </w:r>
    </w:p>
    <w:p>
      <w:pPr>
        <w:spacing w:after="80" w:before="0" w:line="264"/>
      </w:pPr>
      <w:r>
        <w:rPr>
          <w:color w:val="1A1A1A"/>
          <w:sz w:val="21"/>
          <w:szCs w:val="21"/>
        </w:rPr>
        <w:t xml:space="preserve">The repository also contains functionality that goes beyond the Statement of Work — built to manage a shifting set of requests during delivery, or as my own implementation choices, not because the Agreement called for it. None of it is a paid deliverable, and changing or extending it is new work, because it was never paid for in the first place. Examples:</w:t>
      </w:r>
    </w:p>
    <w:p>
      <w:pPr>
        <w:pStyle w:val="ListParagraph"/>
        <w:numPr>
          <w:ilvl w:val="0"/>
          <w:numId w:val="2"/>
        </w:numPr>
        <w:spacing w:after="70" w:line="264"/>
      </w:pPr>
      <w:r>
        <w:rPr>
          <w:b/>
          <w:bCs/>
          <w:color w:val="1A1A1A"/>
          <w:sz w:val="21"/>
          <w:szCs w:val="21"/>
        </w:rPr>
        <w:t xml:space="preserve">Granular feature-permission system.</w:t>
      </w:r>
      <w:r>
        <w:rPr>
          <w:color w:val="1A1A1A"/>
          <w:sz w:val="21"/>
          <w:szCs w:val="21"/>
        </w:rPr>
        <w:t xml:space="preserve"> A configurable engine that turns individual features on and off per global / role / school / individual user, with permission templates and an admin surface (app/(main)/admin/features, server/features, featurePermissions, permissionTemplates — on the order of 79 files). Built so features could be gated by context while requirements were still moving.</w:t>
      </w:r>
    </w:p>
    <w:p>
      <w:pPr>
        <w:pStyle w:val="ListParagraph"/>
        <w:numPr>
          <w:ilvl w:val="0"/>
          <w:numId w:val="2"/>
        </w:numPr>
        <w:spacing w:after="70" w:line="264"/>
      </w:pPr>
      <w:r>
        <w:rPr>
          <w:b/>
          <w:bCs/>
          <w:color w:val="1A1A1A"/>
          <w:sz w:val="21"/>
          <w:szCs w:val="21"/>
        </w:rPr>
        <w:t xml:space="preserve">Branding, logo and the “BP-man” character set.</w:t>
      </w:r>
      <w:r>
        <w:rPr>
          <w:color w:val="1A1A1A"/>
          <w:sz w:val="21"/>
          <w:szCs w:val="21"/>
        </w:rPr>
        <w:t xml:space="preserve"> The current “BP” wordmark, the small mark, and the BP-man mascot with its cape / wand / wrench / thumbs-up poses (public/images/bp-man/) are my own creative choices — not an asset set the Agreement specified or that was paid for. Re-doing them as “BA” with an animated logo and new icon variants (31) is therefore new work, not an update to something contracted.</w:t>
      </w:r>
    </w:p>
    <w:p>
      <w:pPr>
        <w:pStyle w:val="ListParagraph"/>
        <w:numPr>
          <w:ilvl w:val="0"/>
          <w:numId w:val="2"/>
        </w:numPr>
        <w:spacing w:after="70" w:line="264"/>
      </w:pPr>
      <w:r>
        <w:rPr>
          <w:b/>
          <w:bCs/>
          <w:color w:val="1A1A1A"/>
          <w:sz w:val="21"/>
          <w:szCs w:val="21"/>
        </w:rPr>
        <w:t xml:space="preserve">Command palette (Ctrl+K).</w:t>
      </w:r>
      <w:r>
        <w:rPr>
          <w:color w:val="1A1A1A"/>
          <w:sz w:val="21"/>
          <w:szCs w:val="21"/>
        </w:rPr>
        <w:t xml:space="preserve"> A power-user quick-navigation menu (command-menu.tsx) I added for convenience — never in the SOW. Since I added it, removing it — or hiding it from teachers — is no charge.</w:t>
      </w:r>
    </w:p>
    <w:p>
      <w:pPr>
        <w:pStyle w:val="ListParagraph"/>
        <w:numPr>
          <w:ilvl w:val="0"/>
          <w:numId w:val="2"/>
        </w:numPr>
        <w:spacing w:after="70" w:line="264"/>
      </w:pPr>
      <w:r>
        <w:rPr>
          <w:b/>
          <w:bCs/>
          <w:color w:val="1A1A1A"/>
          <w:sz w:val="21"/>
          <w:szCs w:val="21"/>
        </w:rPr>
        <w:t xml:space="preserve">Light / dark theme and UI niceties.</w:t>
      </w:r>
      <w:r>
        <w:rPr>
          <w:color w:val="1A1A1A"/>
          <w:sz w:val="21"/>
          <w:szCs w:val="21"/>
        </w:rPr>
        <w:t xml:space="preserve"> The theme toggle, the My-Classes star / favourites toggle, sidebar screen-tips and similar polish are UX extras beyond the SOW.</w:t>
      </w:r>
    </w:p>
    <w:p>
      <w:pPr>
        <w:pStyle w:val="ListParagraph"/>
        <w:numPr>
          <w:ilvl w:val="0"/>
          <w:numId w:val="2"/>
        </w:numPr>
        <w:spacing w:after="70" w:line="264"/>
      </w:pPr>
      <w:r>
        <w:rPr>
          <w:b/>
          <w:bCs/>
          <w:color w:val="1A1A1A"/>
          <w:sz w:val="21"/>
          <w:szCs w:val="21"/>
        </w:rPr>
        <w:t xml:space="preserve">Internal developer tooling.</w:t>
      </w:r>
      <w:r>
        <w:rPr>
          <w:color w:val="1A1A1A"/>
          <w:sz w:val="21"/>
          <w:szCs w:val="21"/>
        </w:rPr>
        <w:t xml:space="preserve"> The internal INTRADARK_DEV role and its account guard, the role / permission templates, the admin tools-launcher, the seeded “Bullyproof Academy” test school and dummy data, and migration / backfill scripts — scaffolding for building and operating the platform, not deliverables.</w:t>
      </w:r>
    </w:p>
    <w:p>
      <w:pPr>
        <w:pBdr>
          <w:left w:val="single" w:color="008490" w:sz="18" w:space="12"/>
        </w:pBdr>
        <w:shd w:fill="EAF4F5" w:val="clear"/>
        <w:spacing w:after="120" w:before="40" w:line="264"/>
      </w:pPr>
      <w:r>
        <w:rPr>
          <w:b/>
          <w:bCs/>
          <w:color w:val="1A1A1A"/>
          <w:sz w:val="21"/>
          <w:szCs w:val="21"/>
        </w:rPr>
        <w:t xml:space="preserve">The consequence. </w:t>
      </w:r>
      <w:r>
        <w:rPr>
          <w:color w:val="1A1A1A"/>
          <w:sz w:val="21"/>
          <w:szCs w:val="21"/>
        </w:rPr>
        <w:t xml:space="preserve">Because these are outside the Agreement, they cannot be treated as scope, and a request that builds on them — “this already exists in the system, just add X” — is </w:t>
      </w:r>
      <w:r>
        <w:rPr>
          <w:b/>
          <w:bCs/>
          <w:color w:val="1A1A1A"/>
          <w:sz w:val="21"/>
          <w:szCs w:val="21"/>
        </w:rPr>
        <w:t xml:space="preserve">new work</w:t>
      </w:r>
      <w:r>
        <w:rPr>
          <w:color w:val="1A1A1A"/>
          <w:sz w:val="21"/>
          <w:szCs w:val="21"/>
        </w:rPr>
        <w:t xml:space="preserve"> under Variation cl 11(2) and SDA cl 10, not a continuation of the original brief. The presence of code is not evidence of an obligation to extend it.</w:t>
      </w:r>
    </w:p>
    <w:p>
      <w:pPr>
        <w:pStyle w:val="Heading1"/>
        <w:pBdr>
          <w:bottom w:val="single" w:color="008490" w:sz="6" w:space="4"/>
        </w:pBdr>
        <w:spacing w:after="120" w:before="300"/>
      </w:pPr>
      <w:r>
        <w:rPr>
          <w:rFonts w:ascii="Arial" w:cs="Arial" w:eastAsia="Arial" w:hAnsi="Arial"/>
          <w:b/>
          <w:bCs/>
          <w:color w:val="008490"/>
          <w:sz w:val="26"/>
          <w:szCs w:val="26"/>
        </w:rPr>
        <w:t xml:space="preserve">6.  The boundary, in the Agreement's own terms</w:t>
      </w:r>
    </w:p>
    <w:p>
      <w:pPr>
        <w:pStyle w:val="ListParagraph"/>
        <w:numPr>
          <w:ilvl w:val="0"/>
          <w:numId w:val="2"/>
        </w:numPr>
        <w:spacing w:after="70" w:line="264"/>
      </w:pPr>
      <w:r>
        <w:rPr>
          <w:b/>
          <w:bCs/>
          <w:color w:val="1A1A1A"/>
          <w:sz w:val="21"/>
          <w:szCs w:val="21"/>
        </w:rPr>
        <w:t xml:space="preserve">Entire agreement — SDA cl 16.1.</w:t>
      </w:r>
      <w:r>
        <w:rPr>
          <w:color w:val="1A1A1A"/>
          <w:sz w:val="21"/>
          <w:szCs w:val="21"/>
        </w:rPr>
        <w:t xml:space="preserve"> The Agreement and its SOW are the entire agreement; nothing outside them has been relied on, and it may be amended only by a written document signed by both parties. Existence in the codebase, or prior discussion, does not create a deliverable.</w:t>
      </w:r>
    </w:p>
    <w:p>
      <w:pPr>
        <w:pStyle w:val="ListParagraph"/>
        <w:numPr>
          <w:ilvl w:val="0"/>
          <w:numId w:val="2"/>
        </w:numPr>
        <w:spacing w:after="70" w:line="264"/>
      </w:pPr>
      <w:r>
        <w:rPr>
          <w:b/>
          <w:bCs/>
          <w:color w:val="1A1A1A"/>
          <w:sz w:val="21"/>
          <w:szCs w:val="21"/>
        </w:rPr>
        <w:t xml:space="preserve">General requirement, discharged by implementation — cl 11.</w:t>
      </w:r>
      <w:r>
        <w:rPr>
          <w:color w:val="1A1A1A"/>
          <w:sz w:val="21"/>
          <w:szCs w:val="21"/>
        </w:rPr>
        <w:t xml:space="preserve"> Where the SOW describes a feature in general terms, a working implementation satisfies it. Ambiguity in the SOW resolves in favour of the delivered implementation — not unlimited later specification.</w:t>
      </w:r>
    </w:p>
    <w:p>
      <w:pPr>
        <w:pStyle w:val="ListParagraph"/>
        <w:numPr>
          <w:ilvl w:val="0"/>
          <w:numId w:val="2"/>
        </w:numPr>
        <w:spacing w:after="70" w:line="264"/>
      </w:pPr>
      <w:r>
        <w:rPr>
          <w:b/>
          <w:bCs/>
          <w:color w:val="1A1A1A"/>
          <w:sz w:val="21"/>
          <w:szCs w:val="21"/>
        </w:rPr>
        <w:t xml:space="preserve">New specificity is additional — cl 11(2).</w:t>
      </w:r>
      <w:r>
        <w:rPr>
          <w:color w:val="1A1A1A"/>
          <w:sz w:val="21"/>
          <w:szCs w:val="21"/>
        </w:rPr>
        <w:t xml:space="preserve"> Refinements, enhancements and usability improvements outside the defined scope are additional work, by separate agreement.</w:t>
      </w:r>
    </w:p>
    <w:p>
      <w:pPr>
        <w:pStyle w:val="ListParagraph"/>
        <w:numPr>
          <w:ilvl w:val="0"/>
          <w:numId w:val="2"/>
        </w:numPr>
        <w:spacing w:after="70" w:line="264"/>
      </w:pPr>
      <w:r>
        <w:rPr>
          <w:b/>
          <w:bCs/>
          <w:color w:val="1A1A1A"/>
          <w:sz w:val="21"/>
          <w:szCs w:val="21"/>
        </w:rPr>
        <w:t xml:space="preserve">Acceptance is measured against the agreed scope — Variation cl 7.</w:t>
      </w:r>
      <w:r>
        <w:rPr>
          <w:color w:val="1A1A1A"/>
          <w:sz w:val="21"/>
          <w:szCs w:val="21"/>
        </w:rPr>
        <w:t xml:space="preserve"> Final acceptance turns on whether the deliverables meet the agreed scope and any material defects in relation to it — not new requirements introduced afterwards.</w:t>
      </w:r>
    </w:p>
    <w:p>
      <w:pPr>
        <w:pStyle w:val="ListParagraph"/>
        <w:numPr>
          <w:ilvl w:val="0"/>
          <w:numId w:val="2"/>
        </w:numPr>
        <w:spacing w:after="70" w:line="264"/>
      </w:pPr>
      <w:r>
        <w:rPr>
          <w:b/>
          <w:bCs/>
          <w:color w:val="1A1A1A"/>
          <w:sz w:val="21"/>
          <w:szCs w:val="21"/>
        </w:rPr>
        <w:t xml:space="preserve">Changes go through change control — SDA cl 10.</w:t>
      </w:r>
      <w:r>
        <w:rPr>
          <w:color w:val="1A1A1A"/>
          <w:sz w:val="21"/>
          <w:szCs w:val="21"/>
        </w:rPr>
        <w:t xml:space="preserve"> New or changed scope is estimated for scope, timeline and fees, and takes effect only when agreed in writing.</w:t>
      </w:r>
    </w:p>
    <w:p>
      <w:pPr>
        <w:spacing w:after="160" w:before="120" w:line="264"/>
      </w:pPr>
      <w:r>
        <w:rPr>
          <w:color w:val="1A1A1A"/>
          <w:sz w:val="21"/>
          <w:szCs w:val="21"/>
        </w:rPr>
        <w:t xml:space="preserve">In short: the original Agreement is substantially delivered, with a defined set of remaining SOW items and genuine defects being completed at no charge. Everything specified in your 22 June review beyond those is additional work — summarised by area in Section 4, and assessed with its clause basis in the companion </w:t>
      </w:r>
      <w:r>
        <w:rPr>
          <w:i/>
          <w:iCs/>
          <w:color w:val="1A1A1A"/>
          <w:sz w:val="21"/>
          <w:szCs w:val="21"/>
        </w:rPr>
        <w:t xml:space="preserve">Scope Review &amp; Change Request</w:t>
      </w:r>
      <w:r>
        <w:rPr>
          <w:color w:val="1A1A1A"/>
          <w:sz w:val="21"/>
          <w:szCs w:val="21"/>
        </w:rPr>
        <w:t xml:space="preserve">.</w:t>
      </w:r>
    </w:p>
    <w:p>
      <w:pPr>
        <w:spacing w:after="200" w:before="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0" w:before="0" w:line="264"/>
      </w:pPr>
      <w:r>
        <w:rPr>
          <w:color w:val="5A5A5A"/>
          <w:sz w:val="19"/>
          <w:szCs w:val="19"/>
        </w:rPr>
        <w:t xml:space="preserve">agirton@intradark.com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Confidential — prepared for Amayda Pty Ltd</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Bullyproof — SOW Completion &amp; Deliverables Register</dc:title>
  <dc:creator>Intradark</dc:creator>
  <cp:lastModifiedBy>Un-named</cp:lastModifiedBy>
  <cp:revision>1</cp:revision>
  <dcterms:created xsi:type="dcterms:W3CDTF">2026-06-29T10:03:25.188Z</dcterms:created>
  <dcterms:modified xsi:type="dcterms:W3CDTF">2026-06-29T10:03:25.189Z</dcterms:modified>
</cp:coreProperties>
</file>

<file path=docProps/custom.xml><?xml version="1.0" encoding="utf-8"?>
<Properties xmlns="http://schemas.openxmlformats.org/officeDocument/2006/custom-properties" xmlns:vt="http://schemas.openxmlformats.org/officeDocument/2006/docPropsVTypes"/>
</file>