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A1A1A"/>
          <w:sz w:val="30"/>
          <w:szCs w:val="30"/>
        </w:rPr>
        <w:t xml:space="preserve">INTRADARK</w:t>
      </w:r>
    </w:p>
    <w:p>
      <w:pPr>
        <w:pBdr>
          <w:bottom w:val="single" w:color="008490" w:sz="10" w:space="6"/>
        </w:pBdr>
        <w:spacing w:after="6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Bullyproof Platform — Scope Review &amp; Change Request</w:t>
      </w:r>
    </w:p>
    <w:p>
      <w:pPr>
        <w:spacing w:after="160"/>
      </w:pPr>
      <w:r>
        <w:rPr>
          <w:i/>
          <w:iCs/>
          <w:color w:val="5A5A5A"/>
          <w:sz w:val="20"/>
          <w:szCs w:val="20"/>
        </w:rPr>
        <w:t xml:space="preserve">Each requested item mapped to the Agreement: what is already required, and what is additional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To:</w:t>
            </w:r>
          </w:p>
        </w:tc>
        <w:tc>
          <w:tcPr>
            <w:tcW w:type="dxa" w:w="7526"/>
            <w:tcBorders>
              <w:top w:val="none"/>
              <w:left w:val="none"/>
              <w:bottom w:val="none"/>
              <w:right w:val="none"/>
            </w:tcBorders>
            <w:tcMar>
              <w:top w:type="dxa" w:w="28"/>
              <w:left w:type="dxa" w:w="0"/>
              <w:bottom w:type="dxa" w:w="28"/>
              <w:right w:type="dxa" w:w="0"/>
            </w:tcMar>
          </w:tcPr>
          <w:p>
            <w:r>
              <w:rPr>
                <w:b/>
                <w:bCs/>
                <w:color w:val="1A1A1A"/>
                <w:sz w:val="20"/>
                <w:szCs w:val="20"/>
              </w:rPr>
              <w:t xml:space="preserve">Glenn Rushton</w:t>
            </w:r>
            <w:r>
              <w:rPr>
                <w:color w:val="5A5A5A"/>
                <w:sz w:val="19"/>
                <w:szCs w:val="19"/>
              </w:rPr>
              <w:t xml:space="preserve">  —  Director, Amayda Pty Ltd</w:t>
            </w:r>
            <w:r>
              <w:rPr>
                <w:color w:val="5A5A5A"/>
                <w:sz w:val="17"/>
                <w:szCs w:val="17"/>
              </w:rPr>
              <w:t xml:space="preserve">  (ABN 45 629 524 769)</w:t>
            </w:r>
          </w:p>
        </w:tc>
      </w:tr>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From:</w:t>
            </w:r>
          </w:p>
        </w:tc>
        <w:tc>
          <w:tcPr>
            <w:tcW w:type="dxa" w:w="7526"/>
            <w:tcBorders>
              <w:top w:val="none"/>
              <w:left w:val="none"/>
              <w:bottom w:val="none"/>
              <w:right w:val="none"/>
            </w:tcBorders>
            <w:tcMar>
              <w:top w:type="dxa" w:w="28"/>
              <w:left w:type="dxa" w:w="0"/>
              <w:bottom w:type="dxa" w:w="28"/>
              <w:right w:type="dxa" w:w="0"/>
            </w:tcMar>
          </w:tcPr>
          <w:p>
            <w:r>
              <w:rPr>
                <w:b/>
                <w:bCs/>
                <w:color w:val="1A1A1A"/>
                <w:sz w:val="20"/>
                <w:szCs w:val="20"/>
              </w:rPr>
              <w:t xml:space="preserve">Aaron J. Girton</w:t>
            </w:r>
            <w:r>
              <w:rPr>
                <w:color w:val="5A5A5A"/>
                <w:sz w:val="19"/>
                <w:szCs w:val="19"/>
              </w:rPr>
              <w:t xml:space="preserve">  —  Director, Intradark Pty Ltd</w:t>
            </w:r>
          </w:p>
        </w:tc>
      </w:tr>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Date:</w:t>
            </w:r>
          </w:p>
        </w:tc>
        <w:tc>
          <w:tcPr>
            <w:tcW w:type="dxa" w:w="7526"/>
            <w:tcBorders>
              <w:top w:val="none"/>
              <w:left w:val="none"/>
              <w:bottom w:val="none"/>
              <w:right w:val="none"/>
            </w:tcBorders>
            <w:tcMar>
              <w:top w:type="dxa" w:w="28"/>
              <w:left w:type="dxa" w:w="0"/>
              <w:bottom w:type="dxa" w:w="28"/>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Re:</w:t>
            </w:r>
          </w:p>
        </w:tc>
        <w:tc>
          <w:tcPr>
            <w:tcW w:type="dxa" w:w="7526"/>
            <w:tcBorders>
              <w:top w:val="none"/>
              <w:left w:val="none"/>
              <w:bottom w:val="none"/>
              <w:right w:val="none"/>
            </w:tcBorders>
            <w:tcMar>
              <w:top w:type="dxa" w:w="28"/>
              <w:left w:type="dxa" w:w="0"/>
              <w:bottom w:type="dxa" w:w="28"/>
              <w:right w:type="dxa" w:w="0"/>
            </w:tcMar>
          </w:tcPr>
          <w:p>
            <w:r>
              <w:rPr>
                <w:color w:val="1A1A1A"/>
                <w:sz w:val="19"/>
                <w:szCs w:val="19"/>
              </w:rPr>
              <w:t xml:space="preserve">Your portal review of 22 June 2026, mapped against the Formal Variation Agreement and the Software Development Agreement / Statement of Work (Schedule 1)</w:t>
            </w:r>
          </w:p>
        </w:tc>
      </w:tr>
    </w:tbl>
    <w:p>
      <w:pPr>
        <w:spacing w:after="80"/>
      </w:pPr>
    </w:p>
    <w:p>
      <w:pPr>
        <w:spacing w:after="120" w:before="0" w:line="264"/>
      </w:pPr>
      <w:r>
        <w:rPr>
          <w:color w:val="1A1A1A"/>
          <w:sz w:val="22"/>
          <w:szCs w:val="22"/>
        </w:rPr>
        <w:t xml:space="preserve">Glenn,</w:t>
      </w:r>
    </w:p>
    <w:p>
      <w:pPr>
        <w:spacing w:after="120" w:before="0" w:line="264"/>
      </w:pPr>
      <w:r>
        <w:rPr>
          <w:color w:val="1A1A1A"/>
          <w:sz w:val="21"/>
          <w:szCs w:val="21"/>
        </w:rPr>
        <w:t xml:space="preserve">Thank you for the detailed portal review. As I flagged on 22 June, I have now worked through every item in your document and mapped each one against the </w:t>
      </w:r>
      <w:r>
        <w:rPr>
          <w:i/>
          <w:iCs/>
          <w:color w:val="1A1A1A"/>
          <w:sz w:val="21"/>
          <w:szCs w:val="21"/>
        </w:rPr>
        <w:t xml:space="preserve">Formal Variation Agreement</w:t>
      </w:r>
      <w:r>
        <w:rPr>
          <w:color w:val="1A1A1A"/>
          <w:sz w:val="21"/>
          <w:szCs w:val="21"/>
        </w:rPr>
        <w:t xml:space="preserve"> (effective 23 April 2026) and the </w:t>
      </w:r>
      <w:r>
        <w:rPr>
          <w:i/>
          <w:iCs/>
          <w:color w:val="1A1A1A"/>
          <w:sz w:val="21"/>
          <w:szCs w:val="21"/>
        </w:rPr>
        <w:t xml:space="preserve">Software Development Agreement / Statement of Work</w:t>
      </w:r>
      <w:r>
        <w:rPr>
          <w:color w:val="1A1A1A"/>
          <w:sz w:val="21"/>
          <w:szCs w:val="21"/>
        </w:rPr>
        <w:t xml:space="preserve"> it attaches as Schedule 1. This is the consolidated response: where the build stands, what the Agreement already requires me to complete, what is separately agreed (the Content Type), what sits outside it as additional work, the items we need to reconcile, an indicative path, and the inputs I still need from you.</w:t>
      </w:r>
    </w:p>
    <w:p>
      <w:pPr>
        <w:spacing w:after="60" w:before="0" w:line="264"/>
      </w:pPr>
      <w:r>
        <w:rPr>
          <w:color w:val="1A1A1A"/>
          <w:sz w:val="21"/>
          <w:szCs w:val="21"/>
        </w:rPr>
        <w:t xml:space="preserve">I have tried to be even-handed: where an item is already within scope I have said so plainly and it will be finished at no additional charge; where an item is a genuine enhancement beyond the agreed scope I have flagged it, with the clause it turns on, so there is no ambiguity for either party. One point matters most: a number of these requests re-specify how an </w:t>
      </w:r>
      <w:r>
        <w:rPr>
          <w:i/>
          <w:iCs/>
          <w:color w:val="1A1A1A"/>
          <w:sz w:val="21"/>
          <w:szCs w:val="21"/>
        </w:rPr>
        <w:t xml:space="preserve">already-delivered</w:t>
      </w:r>
      <w:r>
        <w:rPr>
          <w:color w:val="1A1A1A"/>
          <w:sz w:val="21"/>
          <w:szCs w:val="21"/>
        </w:rPr>
        <w:t xml:space="preserve"> feature — the culture rating, the reporting dashboards — should now look and behave. A working feature satisfies the scope that called for it; the new presentation and functionality layered on afterwards is enhancement work, not a retroactive part of the original brief. Deliberately, this document carries </w:t>
      </w:r>
      <w:r>
        <w:rPr>
          <w:b/>
          <w:bCs/>
          <w:color w:val="1A1A1A"/>
          <w:sz w:val="21"/>
          <w:szCs w:val="21"/>
        </w:rPr>
        <w:t xml:space="preserve">no pricing</w:t>
      </w:r>
      <w:r>
        <w:rPr>
          <w:color w:val="1A1A1A"/>
          <w:sz w:val="21"/>
          <w:szCs w:val="21"/>
        </w:rPr>
        <w:t xml:space="preserve"> — a costed change request for the additional items will follow once we have agreed the scope boundary, so the figure lands against a scope we have both signed off.</w:t>
      </w:r>
    </w:p>
    <w:p>
      <w:pPr>
        <w:pStyle w:val="Heading1"/>
        <w:pBdr>
          <w:bottom w:val="single" w:color="008490" w:sz="6" w:space="4"/>
        </w:pBdr>
        <w:spacing w:after="120" w:before="300"/>
      </w:pPr>
      <w:r>
        <w:rPr>
          <w:rFonts w:ascii="Arial" w:cs="Arial" w:eastAsia="Arial" w:hAnsi="Arial"/>
          <w:b/>
          <w:bCs/>
          <w:color w:val="008490"/>
          <w:sz w:val="26"/>
          <w:szCs w:val="26"/>
        </w:rPr>
        <w:t xml:space="preserve">1.  Where the build stands</w:t>
      </w:r>
    </w:p>
    <w:p>
      <w:pPr>
        <w:spacing w:after="100" w:before="0" w:line="264"/>
      </w:pPr>
      <w:r>
        <w:rPr>
          <w:color w:val="1A1A1A"/>
          <w:sz w:val="21"/>
          <w:szCs w:val="21"/>
        </w:rPr>
        <w:t xml:space="preserve">Across the 60 items in your document: </w:t>
      </w:r>
      <w:r>
        <w:rPr>
          <w:b/>
          <w:bCs/>
          <w:color w:val="1A1A1A"/>
          <w:sz w:val="21"/>
          <w:szCs w:val="21"/>
        </w:rPr>
        <w:t xml:space="preserve">7 complete</w:t>
      </w:r>
      <w:r>
        <w:rPr>
          <w:color w:val="1A1A1A"/>
          <w:sz w:val="21"/>
          <w:szCs w:val="21"/>
        </w:rPr>
        <w:t xml:space="preserve">, </w:t>
      </w:r>
      <w:r>
        <w:rPr>
          <w:b/>
          <w:bCs/>
          <w:color w:val="1A1A1A"/>
          <w:sz w:val="21"/>
          <w:szCs w:val="21"/>
        </w:rPr>
        <w:t xml:space="preserve">29 in progress</w:t>
      </w:r>
      <w:r>
        <w:rPr>
          <w:color w:val="1A1A1A"/>
          <w:sz w:val="21"/>
          <w:szCs w:val="21"/>
        </w:rPr>
        <w:t xml:space="preserve">, and </w:t>
      </w:r>
      <w:r>
        <w:rPr>
          <w:b/>
          <w:bCs/>
          <w:color w:val="1A1A1A"/>
          <w:sz w:val="21"/>
          <w:szCs w:val="21"/>
        </w:rPr>
        <w:t xml:space="preserve">24 not started</w:t>
      </w:r>
      <w:r>
        <w:rPr>
          <w:color w:val="1A1A1A"/>
          <w:sz w:val="21"/>
          <w:szCs w:val="21"/>
        </w:rPr>
        <w:t xml:space="preserve">. The platform core — authentication, the LMS / AP Certification, live-lesson delivery and content authoring — is largely delivered. The outstanding work is concentrated in the new admin Home page and schedule engine, reporting, content governance, and a tail of portal refinements.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0"/>
        <w:gridCol w:w="1240"/>
        <w:gridCol w:w="1500"/>
        <w:gridCol w:w="1500"/>
        <w:gridCol w:w="1526"/>
      </w:tblGrid>
      <w:tr>
        <w:trPr>
          <w:tblHeader/>
        </w:trPr>
        <w:tc>
          <w:tcPr>
            <w:tcW w:type="dxa" w:w="326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Area</w:t>
            </w:r>
          </w:p>
        </w:tc>
        <w:tc>
          <w:tcPr>
            <w:tcW w:type="dxa" w:w="124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Items</w:t>
            </w:r>
          </w:p>
        </w:tc>
        <w:tc>
          <w:tcPr>
            <w:tcW w:type="dxa" w:w="1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Complete</w:t>
            </w:r>
          </w:p>
        </w:tc>
        <w:tc>
          <w:tcPr>
            <w:tcW w:type="dxa" w:w="1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In progress</w:t>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Not started</w:t>
            </w:r>
          </w:p>
        </w:tc>
      </w:tr>
      <w:tr>
        <w:tc>
          <w:tcPr>
            <w:tcW w:type="dxa" w:w="326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Auth, onboarding &amp; user setup</w:t>
            </w:r>
          </w:p>
        </w:tc>
        <w:tc>
          <w:tcPr>
            <w:tcW w:type="dxa" w:w="124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8</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5</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2</w:t>
            </w:r>
          </w:p>
        </w:tc>
      </w:tr>
      <w:tr>
        <w:tc>
          <w:tcPr>
            <w:tcW w:type="dxa" w:w="326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LMS / AP Certification</w:t>
            </w:r>
          </w:p>
        </w:tc>
        <w:tc>
          <w:tcPr>
            <w:tcW w:type="dxa" w:w="124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3</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0</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2</w:t>
            </w:r>
          </w:p>
        </w:tc>
        <w:tc>
          <w:tcPr>
            <w:tcW w:type="dxa" w:w="1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1</w:t>
            </w:r>
          </w:p>
        </w:tc>
      </w:tr>
      <w:tr>
        <w:tc>
          <w:tcPr>
            <w:tcW w:type="dxa" w:w="326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Classroom delivery (live lessons)</w:t>
            </w:r>
          </w:p>
        </w:tc>
        <w:tc>
          <w:tcPr>
            <w:tcW w:type="dxa" w:w="124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6</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0</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5</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w:t>
            </w:r>
          </w:p>
        </w:tc>
      </w:tr>
      <w:tr>
        <w:tc>
          <w:tcPr>
            <w:tcW w:type="dxa" w:w="326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Admin Home page &amp; schedule engine</w:t>
            </w:r>
          </w:p>
        </w:tc>
        <w:tc>
          <w:tcPr>
            <w:tcW w:type="dxa" w:w="124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15</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2</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4</w:t>
            </w:r>
          </w:p>
        </w:tc>
        <w:tc>
          <w:tcPr>
            <w:tcW w:type="dxa" w:w="1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9</w:t>
            </w:r>
          </w:p>
        </w:tc>
      </w:tr>
      <w:tr>
        <w:tc>
          <w:tcPr>
            <w:tcW w:type="dxa" w:w="326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Reporting &amp; exports</w:t>
            </w:r>
          </w:p>
        </w:tc>
        <w:tc>
          <w:tcPr>
            <w:tcW w:type="dxa" w:w="124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6</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0</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5</w:t>
            </w:r>
          </w:p>
        </w:tc>
      </w:tr>
      <w:tr>
        <w:tc>
          <w:tcPr>
            <w:tcW w:type="dxa" w:w="326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Culture rating &amp; performance</w:t>
            </w:r>
          </w:p>
        </w:tc>
        <w:tc>
          <w:tcPr>
            <w:tcW w:type="dxa" w:w="124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5</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1</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4</w:t>
            </w:r>
          </w:p>
        </w:tc>
        <w:tc>
          <w:tcPr>
            <w:tcW w:type="dxa" w:w="1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0</w:t>
            </w:r>
          </w:p>
        </w:tc>
      </w:tr>
      <w:tr>
        <w:tc>
          <w:tcPr>
            <w:tcW w:type="dxa" w:w="326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Content management &amp; governance</w:t>
            </w:r>
          </w:p>
        </w:tc>
        <w:tc>
          <w:tcPr>
            <w:tcW w:type="dxa" w:w="124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8</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0</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3</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5</w:t>
            </w:r>
          </w:p>
        </w:tc>
      </w:tr>
      <w:tr>
        <w:tc>
          <w:tcPr>
            <w:tcW w:type="dxa" w:w="326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School portal (navigation &amp; settings)</w:t>
            </w:r>
          </w:p>
        </w:tc>
        <w:tc>
          <w:tcPr>
            <w:tcW w:type="dxa" w:w="124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7</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3</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4</w:t>
            </w:r>
          </w:p>
        </w:tc>
        <w:tc>
          <w:tcPr>
            <w:tcW w:type="dxa" w:w="1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0</w:t>
            </w:r>
          </w:p>
        </w:tc>
      </w:tr>
      <w:tr>
        <w:tc>
          <w:tcPr>
            <w:tcW w:type="dxa" w:w="326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Infrastructure &amp; documentation</w:t>
            </w:r>
          </w:p>
        </w:tc>
        <w:tc>
          <w:tcPr>
            <w:tcW w:type="dxa" w:w="124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2</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0</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w:t>
            </w:r>
          </w:p>
        </w:tc>
      </w:tr>
    </w:tbl>
    <w:p>
      <w:pPr>
        <w:pStyle w:val="Heading1"/>
        <w:pBdr>
          <w:bottom w:val="single" w:color="008490" w:sz="6" w:space="4"/>
        </w:pBdr>
        <w:spacing w:after="120" w:before="300"/>
      </w:pPr>
      <w:r>
        <w:rPr>
          <w:rFonts w:ascii="Arial" w:cs="Arial" w:eastAsia="Arial" w:hAnsi="Arial"/>
          <w:b/>
          <w:bCs/>
          <w:color w:val="008490"/>
          <w:sz w:val="26"/>
          <w:szCs w:val="26"/>
        </w:rPr>
        <w:t xml:space="preserve">2.  How I have assessed each item</w:t>
      </w:r>
    </w:p>
    <w:p>
      <w:pPr>
        <w:spacing w:after="80" w:before="0" w:line="264"/>
      </w:pPr>
      <w:r>
        <w:rPr>
          <w:color w:val="1A1A1A"/>
          <w:sz w:val="21"/>
          <w:szCs w:val="21"/>
        </w:rPr>
        <w:t xml:space="preserve">Three documents govern scope, in this order of precedence (Variation cl 3): the Variation prevails, then the Software Development Agreement, then the Statement of Work. The assessment turns on a small number of clauses:</w:t>
      </w:r>
    </w:p>
    <w:p>
      <w:pPr>
        <w:pStyle w:val="ListParagraph"/>
        <w:numPr>
          <w:ilvl w:val="0"/>
          <w:numId w:val="2"/>
        </w:numPr>
        <w:spacing w:after="60" w:line="264"/>
      </w:pPr>
      <w:r>
        <w:rPr>
          <w:b/>
          <w:bCs/>
          <w:color w:val="1A1A1A"/>
          <w:sz w:val="21"/>
          <w:szCs w:val="21"/>
        </w:rPr>
        <w:t xml:space="preserve">Completion &amp; additional work — Variation cl 11.</w:t>
      </w:r>
      <w:r>
        <w:rPr>
          <w:color w:val="1A1A1A"/>
          <w:sz w:val="21"/>
          <w:szCs w:val="21"/>
        </w:rPr>
        <w:t xml:space="preserve"> Deliverables are complete when all functionality described in the SOW is implemented and material defects are rectified. Critically, “minor refinements (excluding cosmetic labelling changes [text/string]), enhancements, or usability improvements outside of the defined scope will be treated as additional work and subject to separate agreement.” This is the line between the two lists below.</w:t>
      </w:r>
    </w:p>
    <w:p>
      <w:pPr>
        <w:pStyle w:val="ListParagraph"/>
        <w:numPr>
          <w:ilvl w:val="0"/>
          <w:numId w:val="2"/>
        </w:numPr>
        <w:spacing w:after="60" w:line="264"/>
      </w:pPr>
      <w:r>
        <w:rPr>
          <w:b/>
          <w:bCs/>
          <w:color w:val="1A1A1A"/>
          <w:sz w:val="21"/>
          <w:szCs w:val="21"/>
        </w:rPr>
        <w:t xml:space="preserve">Culture Rating — Variation cl 9.</w:t>
      </w:r>
      <w:r>
        <w:rPr>
          <w:color w:val="1A1A1A"/>
          <w:sz w:val="21"/>
          <w:szCs w:val="21"/>
        </w:rPr>
        <w:t xml:space="preserve"> Full functionality for data entry, calculations, tracking and reporting across benchmark and comparative periods is required; the SOW’s “placeholder framework” reference is stated to be incorrect.</w:t>
      </w:r>
    </w:p>
    <w:p>
      <w:pPr>
        <w:pStyle w:val="ListParagraph"/>
        <w:numPr>
          <w:ilvl w:val="0"/>
          <w:numId w:val="2"/>
        </w:numPr>
        <w:spacing w:after="60" w:line="264"/>
      </w:pPr>
      <w:r>
        <w:rPr>
          <w:b/>
          <w:bCs/>
          <w:color w:val="1A1A1A"/>
          <w:sz w:val="21"/>
          <w:szCs w:val="21"/>
        </w:rPr>
        <w:t xml:space="preserve">Reports — Variation cl 10</w:t>
      </w:r>
      <w:r>
        <w:rPr>
          <w:color w:val="1A1A1A"/>
          <w:sz w:val="21"/>
          <w:szCs w:val="21"/>
        </w:rPr>
        <w:t xml:space="preserve"> + SOW 5.1.5 / 8.1.5 / 15.1.5: role-based dashboards for teachers, school admins, Bullyproof staff and government, with CSV/PDF export.</w:t>
      </w:r>
    </w:p>
    <w:p>
      <w:pPr>
        <w:pStyle w:val="ListParagraph"/>
        <w:numPr>
          <w:ilvl w:val="0"/>
          <w:numId w:val="2"/>
        </w:numPr>
        <w:spacing w:after="60" w:line="264"/>
      </w:pPr>
      <w:r>
        <w:rPr>
          <w:b/>
          <w:bCs/>
          <w:color w:val="1A1A1A"/>
          <w:sz w:val="21"/>
          <w:szCs w:val="21"/>
        </w:rPr>
        <w:t xml:space="preserve">Defects &amp; warranty — SDA cl 8 and cl 7.</w:t>
      </w:r>
      <w:r>
        <w:rPr>
          <w:color w:val="1A1A1A"/>
          <w:sz w:val="21"/>
          <w:szCs w:val="21"/>
        </w:rPr>
        <w:t xml:space="preserve"> Material defects are fixed free of charge, including a 90-day warranty from Final Acceptance.</w:t>
      </w:r>
    </w:p>
    <w:p>
      <w:pPr>
        <w:pStyle w:val="ListParagraph"/>
        <w:numPr>
          <w:ilvl w:val="0"/>
          <w:numId w:val="2"/>
        </w:numPr>
        <w:spacing w:after="60" w:line="264"/>
      </w:pPr>
      <w:r>
        <w:rPr>
          <w:b/>
          <w:bCs/>
          <w:color w:val="1A1A1A"/>
          <w:sz w:val="21"/>
          <w:szCs w:val="21"/>
        </w:rPr>
        <w:t xml:space="preserve">Change control — SDA cl 10.</w:t>
      </w:r>
      <w:r>
        <w:rPr>
          <w:color w:val="1A1A1A"/>
          <w:sz w:val="21"/>
          <w:szCs w:val="21"/>
        </w:rPr>
        <w:t xml:space="preserve"> Changes outside scope are estimated for scope, timeline and fees, and take effect only when agreed in writing — the vehicle for the additional list.</w:t>
      </w:r>
    </w:p>
    <w:p>
      <w:pPr>
        <w:pStyle w:val="ListParagraph"/>
        <w:numPr>
          <w:ilvl w:val="0"/>
          <w:numId w:val="2"/>
        </w:numPr>
        <w:spacing w:after="60" w:line="264"/>
      </w:pPr>
      <w:r>
        <w:rPr>
          <w:b/>
          <w:bCs/>
          <w:color w:val="1A1A1A"/>
          <w:sz w:val="21"/>
          <w:szCs w:val="21"/>
        </w:rPr>
        <w:t xml:space="preserve">Separately agreed — outside this Agreement.</w:t>
      </w:r>
      <w:r>
        <w:rPr>
          <w:color w:val="1A1A1A"/>
          <w:sz w:val="21"/>
          <w:szCs w:val="21"/>
        </w:rPr>
        <w:t xml:space="preserve"> The Content Type is agreed in writing (your email of 23 April 2026) at a price not to exceed $30,000, in its own Statement of Work and deliberately excluded from the Variation. It is treated on that basis (Section 4).</w:t>
      </w:r>
    </w:p>
    <w:p>
      <w:pPr>
        <w:pStyle w:val="Heading1"/>
        <w:pBdr>
          <w:bottom w:val="single" w:color="008490" w:sz="6" w:space="4"/>
        </w:pBdr>
        <w:spacing w:after="120" w:before="300"/>
      </w:pPr>
      <w:r>
        <w:rPr>
          <w:rFonts w:ascii="Arial" w:cs="Arial" w:eastAsia="Arial" w:hAnsi="Arial"/>
          <w:b/>
          <w:bCs/>
          <w:color w:val="008490"/>
          <w:sz w:val="26"/>
          <w:szCs w:val="26"/>
        </w:rPr>
        <w:t xml:space="preserve">3.  In scope — to be completed at no additional charge</w:t>
      </w:r>
    </w:p>
    <w:p>
      <w:pPr>
        <w:pBdr>
          <w:left w:val="single" w:color="008490" w:sz="18" w:space="12"/>
        </w:pBdr>
        <w:shd w:fill="EAF4F5" w:val="clear"/>
        <w:spacing w:after="120" w:before="40" w:line="264"/>
      </w:pPr>
      <w:r>
        <w:rPr>
          <w:b/>
          <w:bCs/>
          <w:color w:val="1A1A1A"/>
          <w:sz w:val="21"/>
          <w:szCs w:val="21"/>
        </w:rPr>
        <w:t xml:space="preserve">The line that runs through Sections 3–5. </w:t>
      </w:r>
      <w:r>
        <w:rPr>
          <w:color w:val="1A1A1A"/>
          <w:sz w:val="21"/>
          <w:szCs w:val="21"/>
        </w:rPr>
        <w:t xml:space="preserve">The Agreement requires certain features to </w:t>
      </w:r>
      <w:r>
        <w:rPr>
          <w:i/>
          <w:iCs/>
          <w:color w:val="1A1A1A"/>
          <w:sz w:val="21"/>
          <w:szCs w:val="21"/>
        </w:rPr>
        <w:t xml:space="preserve">exist and function</w:t>
      </w:r>
      <w:r>
        <w:rPr>
          <w:color w:val="1A1A1A"/>
          <w:sz w:val="21"/>
          <w:szCs w:val="21"/>
        </w:rPr>
        <w:t xml:space="preserve"> — a culture rating, reporting, an admin panel — and those are built and working. It does not fix the particular screens, gauges, dashboard layouts, report structures or workflows those features use. The requirement to “deliver a culture rating” is satisfied by a functioning culture rating; it does not roll forward to cover every later refinement of how it should look and behave. So the functioning features are in scope below; the new presentation and behaviour specified in your 22 June document is additional (Section 5).</w:t>
      </w:r>
    </w:p>
    <w:p>
      <w:pPr>
        <w:spacing w:after="90" w:before="0" w:line="264"/>
      </w:pPr>
      <w:r>
        <w:rPr>
          <w:color w:val="1A1A1A"/>
          <w:sz w:val="21"/>
          <w:szCs w:val="21"/>
        </w:rPr>
        <w:t xml:space="preserve">These are required by the Agreement and are being completed as part of the engagement; several are already done or in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0"/>
        <w:gridCol w:w="4846"/>
        <w:gridCol w:w="3000"/>
      </w:tblGrid>
      <w:tr>
        <w:trPr>
          <w:tblHeader/>
        </w:trPr>
        <w:tc>
          <w:tcPr>
            <w:tcW w:type="dxa" w:w="118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Items</w:t>
            </w:r>
          </w:p>
        </w:tc>
        <w:tc>
          <w:tcPr>
            <w:tcW w:type="dxa" w:w="484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Included work</w:t>
            </w:r>
          </w:p>
        </w:tc>
        <w:tc>
          <w:tcPr>
            <w:tcW w:type="dxa" w:w="30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Contractual basis</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14–17</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Culture Rating, as a functioning feature — data entry, calculations (including correct re-weighting when an input is zero), benchmark / comparative-period tracking, and a working comparison view and gauge. Applying the official Woodford weighting once supplied is the finish.</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008490"/>
                <w:sz w:val="18"/>
                <w:szCs w:val="18"/>
              </w:rPr>
              <w:t xml:space="preserve">Variation cl 9 — full functionality of the feature required</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34, 36, 59</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Reporting, as a functioning feature — role-based dashboards (teacher, school admin, Bullyproof, government) with CSV / PDF export, providing the required data outputs</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008490"/>
                <w:sz w:val="18"/>
                <w:szCs w:val="18"/>
              </w:rPr>
              <w:t xml:space="preserve">Variation cl 10 + SOW 5.1.5 / 8.1.5 / 15.1.5</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32</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AP certificate generation, accessible and downloadable from the user profile</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008490"/>
                <w:sz w:val="18"/>
                <w:szCs w:val="18"/>
              </w:rPr>
              <w:t xml:space="preserve">SOW 5.1.2 / 8.1.2 / 15.1.2</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60</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Administrator and System Administrator guides (user + technical documentation)</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008490"/>
                <w:sz w:val="18"/>
                <w:szCs w:val="18"/>
              </w:rPr>
              <w:t xml:space="preserve">SOW 8.1.7 / 15.1.7; Variation cl 6; Deliverable D6</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39, 40, 41*, 51, 53</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Defect fixes in already-delivered functionality — address/domain save (39 appears already resolved, verify only), template-active state, Licence &amp; Feature-Access panels (verify only*), Teach Lessons faults, lesson recommendation</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008490"/>
                <w:sz w:val="18"/>
                <w:szCs w:val="18"/>
              </w:rPr>
              <w:t xml:space="preserve">SDA Warranty cl 8.1(b) — free, 90 days; Variation cl 7.3 &amp; 11</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28, 45, 57, 58</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Cosmetic label / text / string changes — Roles→Access Levels, Content→Preview Lessons, Lessons→Teach Lessons, Class Size→Student Numbers, report messages, Support mailto</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008490"/>
                <w:sz w:val="18"/>
                <w:szCs w:val="18"/>
              </w:rPr>
              <w:t xml:space="preserve">Variation cl 11 — expressly excluded from “additional work”</w:t>
            </w:r>
          </w:p>
        </w:tc>
      </w:tr>
      <w:tr>
        <w:tc>
          <w:tcPr>
            <w:tcW w:type="dxa" w:w="118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44</w:t>
            </w:r>
          </w:p>
        </w:tc>
        <w:tc>
          <w:tcPr>
            <w:tcW w:type="dxa" w:w="484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color w:val="1A1A1A"/>
                <w:sz w:val="19"/>
                <w:szCs w:val="19"/>
              </w:rPr>
              <w:t xml:space="preserve">Removing the Ctrl+K command menu — or hiding it from teachers — on request</w:t>
            </w:r>
          </w:p>
        </w:tc>
        <w:tc>
          <w:tcPr>
            <w:tcW w:type="dxa" w:w="30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spacing w:after="0" w:line="248"/>
            </w:pPr>
            <w:r>
              <w:rPr>
                <w:i/>
                <w:iCs/>
                <w:color w:val="5A5A5A"/>
                <w:sz w:val="19"/>
                <w:szCs w:val="19"/>
              </w:rPr>
              <w:t xml:space="preserve">Developer-added convenience; removed at no charge</w:t>
            </w:r>
          </w:p>
        </w:tc>
      </w:tr>
    </w:tbl>
    <w:p>
      <w:pPr>
        <w:spacing w:after="0" w:before="40" w:line="264"/>
      </w:pPr>
      <w:r>
        <w:rPr>
          <w:i/>
          <w:iCs/>
          <w:color w:val="5A5A5A"/>
          <w:sz w:val="18"/>
          <w:szCs w:val="18"/>
        </w:rPr>
        <w:t xml:space="preserve">* Item 41 is split: the Licence and Feature-Access panels are already built (verify only, in scope above); the Activity timeline is a new build and appears in Section 5.</w:t>
      </w:r>
    </w:p>
    <w:p>
      <w:pPr>
        <w:pStyle w:val="Heading1"/>
        <w:pBdr>
          <w:bottom w:val="single" w:color="008490" w:sz="6" w:space="4"/>
        </w:pBdr>
        <w:spacing w:after="120" w:before="300"/>
      </w:pPr>
      <w:r>
        <w:rPr>
          <w:rFonts w:ascii="Arial" w:cs="Arial" w:eastAsia="Arial" w:hAnsi="Arial"/>
          <w:b/>
          <w:bCs/>
          <w:color w:val="008490"/>
          <w:sz w:val="26"/>
          <w:szCs w:val="26"/>
        </w:rPr>
        <w:t xml:space="preserve">4.  Separately agreed — the Content Type</w:t>
      </w:r>
    </w:p>
    <w:p>
      <w:pPr>
        <w:spacing w:after="80" w:before="0" w:line="264"/>
      </w:pPr>
      <w:r>
        <w:rPr>
          <w:color w:val="1A1A1A"/>
          <w:sz w:val="21"/>
          <w:szCs w:val="21"/>
        </w:rPr>
        <w:t xml:space="preserve">Distinct from both the in-scope work above and the additional work below, the Content Type (items 18–21) is </w:t>
      </w:r>
      <w:r>
        <w:rPr>
          <w:b/>
          <w:bCs/>
          <w:color w:val="1A1A1A"/>
          <w:sz w:val="21"/>
          <w:szCs w:val="21"/>
        </w:rPr>
        <w:t xml:space="preserve">already agreed in writing</w:t>
      </w:r>
      <w:r>
        <w:rPr>
          <w:color w:val="1A1A1A"/>
          <w:sz w:val="21"/>
          <w:szCs w:val="21"/>
        </w:rPr>
        <w:t xml:space="preserve"> — your email of 23 April 2026 (cc Jeff and Chris) — at a price </w:t>
      </w:r>
      <w:r>
        <w:rPr>
          <w:b/>
          <w:bCs/>
          <w:color w:val="1A1A1A"/>
          <w:sz w:val="21"/>
          <w:szCs w:val="21"/>
        </w:rPr>
        <w:t xml:space="preserve">not to exceed $30,000</w:t>
      </w:r>
      <w:r>
        <w:rPr>
          <w:color w:val="1A1A1A"/>
          <w:sz w:val="21"/>
          <w:szCs w:val="21"/>
        </w:rPr>
        <w:t xml:space="preserve">, to sit in its own Statement of Work and deliberately kept out of the Variation. It is proceeding as agreed; this is not reopened. Two points remain to close it cleanly:</w:t>
      </w:r>
    </w:p>
    <w:p>
      <w:pPr>
        <w:pStyle w:val="ListParagraph"/>
        <w:numPr>
          <w:ilvl w:val="0"/>
          <w:numId w:val="2"/>
        </w:numPr>
        <w:spacing w:after="60" w:line="264"/>
      </w:pPr>
      <w:r>
        <w:rPr>
          <w:b/>
          <w:bCs/>
          <w:color w:val="1A1A1A"/>
          <w:sz w:val="21"/>
          <w:szCs w:val="21"/>
        </w:rPr>
        <w:t xml:space="preserve">Finalise the separate Content Type Statement of Work</w:t>
      </w:r>
      <w:r>
        <w:rPr>
          <w:color w:val="1A1A1A"/>
          <w:sz w:val="21"/>
          <w:szCs w:val="21"/>
        </w:rPr>
        <w:t xml:space="preserve"> — the short document flagged in April (“a few days to get the Statement of Work for this done”), so the agreed $30,000 scope is recorded.</w:t>
      </w:r>
    </w:p>
    <w:p>
      <w:pPr>
        <w:pStyle w:val="ListParagraph"/>
        <w:numPr>
          <w:ilvl w:val="0"/>
          <w:numId w:val="2"/>
        </w:numPr>
        <w:spacing w:after="60" w:line="264"/>
      </w:pPr>
      <w:r>
        <w:rPr>
          <w:b/>
          <w:bCs/>
          <w:color w:val="1A1A1A"/>
          <w:sz w:val="21"/>
          <w:szCs w:val="21"/>
        </w:rPr>
        <w:t xml:space="preserve">Confirm what the cap covers</w:t>
      </w:r>
      <w:r>
        <w:rPr>
          <w:color w:val="1A1A1A"/>
          <w:sz w:val="21"/>
          <w:szCs w:val="21"/>
        </w:rPr>
        <w:t xml:space="preserve"> — the type definition alone (item 18), or the full flow (items 18–21: per-type lesson authoring, the Add-School selector and per-type resources). This decides whether 19–21 sit inside the $30,000 or are handled separately.</w:t>
      </w:r>
    </w:p>
    <w:p>
      <w:pPr>
        <w:pStyle w:val="Heading1"/>
        <w:pBdr>
          <w:bottom w:val="single" w:color="008490" w:sz="6" w:space="4"/>
        </w:pBdr>
        <w:spacing w:after="120" w:before="300"/>
      </w:pPr>
      <w:r>
        <w:rPr>
          <w:rFonts w:ascii="Arial" w:cs="Arial" w:eastAsia="Arial" w:hAnsi="Arial"/>
          <w:b/>
          <w:bCs/>
          <w:color w:val="008490"/>
          <w:sz w:val="26"/>
          <w:szCs w:val="26"/>
        </w:rPr>
        <w:t xml:space="preserve">5.  Additional — separate agreement under change control</w:t>
      </w:r>
    </w:p>
    <w:p>
      <w:pPr>
        <w:spacing w:after="90" w:before="0" w:line="264"/>
      </w:pPr>
      <w:r>
        <w:rPr>
          <w:color w:val="1A1A1A"/>
          <w:sz w:val="21"/>
          <w:szCs w:val="21"/>
        </w:rPr>
        <w:t xml:space="preserve">These are enhancements or new modules outside the defined scope, captured by Variation cl 11(2) and handled as a change request under SDA cl 10. They are valuable work and I want to build them properly — quoted and scheduled on their own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0"/>
        <w:gridCol w:w="4846"/>
        <w:gridCol w:w="3000"/>
      </w:tblGrid>
      <w:tr>
        <w:trPr>
          <w:tblHeader/>
        </w:trPr>
        <w:tc>
          <w:tcPr>
            <w:tcW w:type="dxa" w:w="118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Items</w:t>
            </w:r>
          </w:p>
        </w:tc>
        <w:tc>
          <w:tcPr>
            <w:tcW w:type="dxa" w:w="484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Work</w:t>
            </w:r>
          </w:p>
        </w:tc>
        <w:tc>
          <w:tcPr>
            <w:tcW w:type="dxa" w:w="30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Why it is additional</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1–9</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New admin Home page / program-health dashboard — Active vs Total schools, the new column set, schedule status and drill-downs, beyond the delivered Bullyproof Admin panel</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Enhancement outside defined scope </w:t>
            </w:r>
            <w:r>
              <w:rPr>
                <w:i/>
                <w:iCs/>
                <w:color w:val="008490"/>
                <w:sz w:val="18"/>
                <w:szCs w:val="18"/>
              </w:rPr>
              <w:t xml:space="preserve">(cl 11(2))</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3, 5, 10, 11, 12, 13</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Schedule engine — per-state term calendars, term-entry form, program-year / initial-vs-ongoing model, On-Ahead / Slightly-Behind / Behind calculation, Progress-to-Term-2 widget</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Not in the SOW — a new module</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22, 23, 24, 25</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Step-up MFA on content edits, sole-editor lock, content audit log, version numbering</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Beyond SOW role-based access; ST4S question — see §6</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17, 56</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Culture Rating — re-specified UX: the signed ±100 / 150 / 200% expanding speedometer (replacing the working gauge) and broadening the performance page beyond culture rating. The per-school culture-trend column and drill-downs are part of the new dashboard (items 1–9 above).</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New presentation / behaviour beyond the delivered feature </w:t>
            </w:r>
            <w:r>
              <w:rPr>
                <w:i/>
                <w:iCs/>
                <w:color w:val="008490"/>
                <w:sz w:val="18"/>
                <w:szCs w:val="18"/>
              </w:rPr>
              <w:t xml:space="preserve">(cl 11(2))</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34, 35, 36, 47, 59</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Reporting — re-specified structure: the four renamed report types with percentages, per-report filter panels, Excel export and export scope, the government dashboard build-out, and the school-admin report set with current/previous-year selectors</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Beyond the functioning reporting delivered under cl 10 / SOW </w:t>
            </w:r>
            <w:r>
              <w:rPr>
                <w:i/>
                <w:iCs/>
                <w:color w:val="008490"/>
                <w:sz w:val="18"/>
                <w:szCs w:val="18"/>
              </w:rPr>
              <w:t xml:space="preserve">(cl 11(2))</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43</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Role-based school-portal Home pages, replacing the dashboard</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UX redesign — enhancement </w:t>
            </w:r>
            <w:r>
              <w:rPr>
                <w:i/>
                <w:iCs/>
                <w:color w:val="008490"/>
                <w:sz w:val="18"/>
                <w:szCs w:val="18"/>
              </w:rPr>
              <w:t xml:space="preserve">(cl 11(2))</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26</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Getting Started videos — role-based, first-login autoplay, replace UI</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New feature</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31</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BA rebrand — animated logo and icon variants (the BP→BA text strings are included under cl 11; the artwork and animation are not)</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New design work, outside the text/string carve-out</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29</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“Amayda” access tier above Bullyproof Admin</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New role tier</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33</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Certificate template upload / replace, with custom fields and certificate number</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Beyond “certificate generation” in the SOW</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38</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Onboarding service-step checklist with completion dates</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New feature</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41</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School Activity timeline / feed — the panel is a “coming soon” stub (the Licence and Feature-Access buttons already work — see §3)</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New build, not a defect</w:t>
            </w:r>
          </w:p>
        </w:tc>
      </w:tr>
      <w:tr>
        <w:tc>
          <w:tcPr>
            <w:tcW w:type="dxa" w:w="118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27, 37, 42, 48, 49, 52, 54, 55</w:t>
            </w:r>
          </w:p>
        </w:tc>
        <w:tc>
          <w:tcPr>
            <w:tcW w:type="dxa" w:w="4846"/>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1A1A1A"/>
                <w:sz w:val="19"/>
                <w:szCs w:val="19"/>
              </w:rPr>
              <w:t xml:space="preserve">UX tail — “Other” school level, test-school exclusion, Class Size on Add, course-level Start/Continue/Completed CTA, sortable teacher table, Start-now / Schedule unification, new-calendar-year reset, default-to-5-stars</w:t>
            </w:r>
          </w:p>
        </w:tc>
        <w:tc>
          <w:tcPr>
            <w:tcW w:type="dxa" w:w="3000"/>
            <w:tcBorders>
              <w:top w:val="single" w:color="C9C9C9" w:sz="1"/>
              <w:left w:val="single" w:color="C9C9C9" w:sz="1"/>
              <w:bottom w:val="single" w:color="C9C9C9" w:sz="1"/>
              <w:right w:val="single" w:color="C9C9C9" w:sz="1"/>
            </w:tcBorders>
            <w:shd w:fill="FBF0E6" w:val="clear"/>
            <w:tcMar>
              <w:top w:type="dxa" w:w="50"/>
              <w:left w:type="dxa" w:w="110"/>
              <w:bottom w:type="dxa" w:w="50"/>
              <w:right w:type="dxa" w:w="110"/>
            </w:tcMar>
            <w:vAlign w:val="center"/>
          </w:tcPr>
          <w:p>
            <w:pPr>
              <w:spacing w:after="0" w:line="248"/>
            </w:pPr>
            <w:r>
              <w:rPr>
                <w:color w:val="5A5A5A"/>
                <w:sz w:val="19"/>
                <w:szCs w:val="19"/>
              </w:rPr>
              <w:t xml:space="preserve">Enhancements / usability outside scope </w:t>
            </w:r>
            <w:r>
              <w:rPr>
                <w:i/>
                <w:iCs/>
                <w:color w:val="008490"/>
                <w:sz w:val="18"/>
                <w:szCs w:val="18"/>
              </w:rPr>
              <w:t xml:space="preserve">(cl 11(2))</w:t>
            </w:r>
          </w:p>
        </w:tc>
      </w:tr>
    </w:tbl>
    <w:p>
      <w:pPr>
        <w:pStyle w:val="Heading1"/>
        <w:pBdr>
          <w:bottom w:val="single" w:color="008490" w:sz="6" w:space="4"/>
        </w:pBdr>
        <w:spacing w:after="120" w:before="300"/>
      </w:pPr>
      <w:r>
        <w:rPr>
          <w:rFonts w:ascii="Arial" w:cs="Arial" w:eastAsia="Arial" w:hAnsi="Arial"/>
          <w:b/>
          <w:bCs/>
          <w:color w:val="008490"/>
          <w:sz w:val="26"/>
          <w:szCs w:val="26"/>
        </w:rPr>
        <w:t xml:space="preserve">6.  To reconcile — a handful of judgement calls</w:t>
      </w:r>
    </w:p>
    <w:p>
      <w:pPr>
        <w:spacing w:after="90" w:before="0" w:line="264"/>
      </w:pPr>
      <w:r>
        <w:rPr>
          <w:color w:val="1A1A1A"/>
          <w:sz w:val="21"/>
          <w:szCs w:val="21"/>
        </w:rPr>
        <w:t xml:space="preserve">Three items sit on the boundary and are better decided together than assumed either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Item</w:t>
            </w:r>
          </w:p>
        </w:tc>
        <w:tc>
          <w:tcPr>
            <w:tcW w:type="dxa" w:w="7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Question to resolve</w:t>
            </w:r>
          </w:p>
        </w:tc>
      </w:tr>
      <w:tr>
        <w:tc>
          <w:tcPr>
            <w:tcW w:type="dxa" w:w="1500"/>
            <w:tcBorders>
              <w:top w:val="single" w:color="C9C9C9" w:sz="1"/>
              <w:left w:val="single" w:color="C9C9C9" w:sz="1"/>
              <w:bottom w:val="single" w:color="C9C9C9" w:sz="1"/>
              <w:right w:val="single" w:color="C9C9C9" w:sz="1"/>
            </w:tcBorders>
            <w:shd w:fill="F0F0F0" w:val="clear"/>
            <w:tcMar>
              <w:top w:type="dxa" w:w="50"/>
              <w:left w:type="dxa" w:w="110"/>
              <w:bottom w:type="dxa" w:w="50"/>
              <w:right w:type="dxa" w:w="110"/>
            </w:tcMar>
            <w:vAlign w:val="center"/>
          </w:tcPr>
          <w:p>
            <w:pPr>
              <w:spacing w:after="0" w:line="248"/>
            </w:pPr>
            <w:r>
              <w:rPr>
                <w:b/>
                <w:bCs/>
                <w:color w:val="1A1A1A"/>
                <w:sz w:val="19"/>
                <w:szCs w:val="19"/>
              </w:rPr>
              <w:t xml:space="preserve">Audit log &amp; content MFA (22, 23, 24, 25)</w:t>
            </w:r>
          </w:p>
        </w:tc>
        <w:tc>
          <w:tcPr>
            <w:tcW w:type="dxa" w:w="7526"/>
            <w:tcBorders>
              <w:top w:val="single" w:color="C9C9C9" w:sz="1"/>
              <w:left w:val="single" w:color="C9C9C9" w:sz="1"/>
              <w:bottom w:val="single" w:color="C9C9C9" w:sz="1"/>
              <w:right w:val="single" w:color="C9C9C9" w:sz="1"/>
            </w:tcBorders>
            <w:shd w:fill="F0F0F0" w:val="clear"/>
            <w:tcMar>
              <w:top w:type="dxa" w:w="50"/>
              <w:left w:type="dxa" w:w="110"/>
              <w:bottom w:type="dxa" w:w="50"/>
              <w:right w:type="dxa" w:w="110"/>
            </w:tcMar>
            <w:vAlign w:val="center"/>
          </w:tcPr>
          <w:p>
            <w:pPr>
              <w:spacing w:after="0" w:line="248"/>
            </w:pPr>
            <w:r>
              <w:rPr>
                <w:color w:val="1A1A1A"/>
                <w:sz w:val="19"/>
                <w:szCs w:val="19"/>
              </w:rPr>
              <w:t xml:space="preserve">In scope if ST4S mandates them — the SOW (7.1.3) and risk register provide that mandatory compliance changes are adopted, and optional ones reviewed for impact. If they are governance enhancements rather than ST4S requirements, they are additional. Happy to confirm against the ST4S criteria.</w:t>
            </w:r>
          </w:p>
        </w:tc>
      </w:tr>
      <w:tr>
        <w:tc>
          <w:tcPr>
            <w:tcW w:type="dxa" w:w="1500"/>
            <w:tcBorders>
              <w:top w:val="single" w:color="C9C9C9" w:sz="1"/>
              <w:left w:val="single" w:color="C9C9C9" w:sz="1"/>
              <w:bottom w:val="single" w:color="C9C9C9" w:sz="1"/>
              <w:right w:val="single" w:color="C9C9C9" w:sz="1"/>
            </w:tcBorders>
            <w:shd w:fill="F0F0F0" w:val="clear"/>
            <w:tcMar>
              <w:top w:type="dxa" w:w="50"/>
              <w:left w:type="dxa" w:w="110"/>
              <w:bottom w:type="dxa" w:w="50"/>
              <w:right w:type="dxa" w:w="110"/>
            </w:tcMar>
            <w:vAlign w:val="center"/>
          </w:tcPr>
          <w:p>
            <w:pPr>
              <w:spacing w:after="0" w:line="248"/>
            </w:pPr>
            <w:r>
              <w:rPr>
                <w:b/>
                <w:bCs/>
                <w:color w:val="1A1A1A"/>
                <w:sz w:val="19"/>
                <w:szCs w:val="19"/>
              </w:rPr>
              <w:t xml:space="preserve">School-Licence user management (30)</w:t>
            </w:r>
          </w:p>
        </w:tc>
        <w:tc>
          <w:tcPr>
            <w:tcW w:type="dxa" w:w="7526"/>
            <w:tcBorders>
              <w:top w:val="single" w:color="C9C9C9" w:sz="1"/>
              <w:left w:val="single" w:color="C9C9C9" w:sz="1"/>
              <w:bottom w:val="single" w:color="C9C9C9" w:sz="1"/>
              <w:right w:val="single" w:color="C9C9C9" w:sz="1"/>
            </w:tcBorders>
            <w:shd w:fill="F0F0F0" w:val="clear"/>
            <w:tcMar>
              <w:top w:type="dxa" w:w="50"/>
              <w:left w:type="dxa" w:w="110"/>
              <w:bottom w:type="dxa" w:w="50"/>
              <w:right w:type="dxa" w:w="110"/>
            </w:tcMar>
            <w:vAlign w:val="center"/>
          </w:tcPr>
          <w:p>
            <w:pPr>
              <w:spacing w:after="0" w:line="248"/>
            </w:pPr>
            <w:r>
              <w:rPr>
                <w:color w:val="1A1A1A"/>
                <w:sz w:val="19"/>
                <w:szCs w:val="19"/>
              </w:rPr>
              <w:t xml:space="preserve">The SOW access matrix defines the School Licence account as “setup-only,” handing control to the School Admin. Allowing it to add / edit Users changes that matrix — minor, but it is a scope change rather than a defect.</w:t>
            </w:r>
          </w:p>
        </w:tc>
      </w:tr>
      <w:tr>
        <w:tc>
          <w:tcPr>
            <w:tcW w:type="dxa" w:w="1500"/>
            <w:tcBorders>
              <w:top w:val="single" w:color="C9C9C9" w:sz="1"/>
              <w:left w:val="single" w:color="C9C9C9" w:sz="1"/>
              <w:bottom w:val="single" w:color="C9C9C9" w:sz="1"/>
              <w:right w:val="single" w:color="C9C9C9" w:sz="1"/>
            </w:tcBorders>
            <w:shd w:fill="F0F0F0" w:val="clear"/>
            <w:tcMar>
              <w:top w:type="dxa" w:w="50"/>
              <w:left w:type="dxa" w:w="110"/>
              <w:bottom w:type="dxa" w:w="50"/>
              <w:right w:type="dxa" w:w="110"/>
            </w:tcMar>
            <w:vAlign w:val="center"/>
          </w:tcPr>
          <w:p>
            <w:pPr>
              <w:spacing w:after="0" w:line="248"/>
            </w:pPr>
            <w:r>
              <w:rPr>
                <w:b/>
                <w:bCs/>
                <w:color w:val="1A1A1A"/>
                <w:sz w:val="19"/>
                <w:szCs w:val="19"/>
              </w:rPr>
              <w:t xml:space="preserve">“Highest access level only” (28, 57)</w:t>
            </w:r>
          </w:p>
        </w:tc>
        <w:tc>
          <w:tcPr>
            <w:tcW w:type="dxa" w:w="7526"/>
            <w:tcBorders>
              <w:top w:val="single" w:color="C9C9C9" w:sz="1"/>
              <w:left w:val="single" w:color="C9C9C9" w:sz="1"/>
              <w:bottom w:val="single" w:color="C9C9C9" w:sz="1"/>
              <w:right w:val="single" w:color="C9C9C9" w:sz="1"/>
            </w:tcBorders>
            <w:shd w:fill="F0F0F0" w:val="clear"/>
            <w:tcMar>
              <w:top w:type="dxa" w:w="50"/>
              <w:left w:type="dxa" w:w="110"/>
              <w:bottom w:type="dxa" w:w="50"/>
              <w:right w:type="dxa" w:w="110"/>
            </w:tcMar>
            <w:vAlign w:val="center"/>
          </w:tcPr>
          <w:p>
            <w:pPr>
              <w:spacing w:after="0" w:line="248"/>
            </w:pPr>
            <w:r>
              <w:rPr>
                <w:color w:val="1A1A1A"/>
                <w:sz w:val="19"/>
                <w:szCs w:val="19"/>
              </w:rPr>
              <w:t xml:space="preserve">The renames themselves are included; showing only the highest level is display logic rather than a text change. Small, but noting it so the line is clean.</w:t>
            </w:r>
          </w:p>
        </w:tc>
      </w:tr>
    </w:tbl>
    <w:p>
      <w:pPr>
        <w:pStyle w:val="Heading1"/>
        <w:pBdr>
          <w:bottom w:val="single" w:color="008490" w:sz="6" w:space="4"/>
        </w:pBdr>
        <w:spacing w:after="120" w:before="300"/>
      </w:pPr>
      <w:r>
        <w:rPr>
          <w:rFonts w:ascii="Arial" w:cs="Arial" w:eastAsia="Arial" w:hAnsi="Arial"/>
          <w:b/>
          <w:bCs/>
          <w:color w:val="008490"/>
          <w:sz w:val="26"/>
          <w:szCs w:val="26"/>
        </w:rPr>
        <w:t xml:space="preserve">7.  Your three specific points</w:t>
      </w:r>
    </w:p>
    <w:p>
      <w:pPr>
        <w:pStyle w:val="Heading2"/>
        <w:spacing w:after="80" w:before="200"/>
      </w:pPr>
      <w:r>
        <w:rPr>
          <w:rFonts w:ascii="Arial" w:cs="Arial" w:eastAsia="Arial" w:hAnsi="Arial"/>
          <w:b/>
          <w:bCs/>
          <w:color w:val="1A1A1A"/>
          <w:sz w:val="22"/>
          <w:szCs w:val="22"/>
        </w:rPr>
        <w:t xml:space="preserve">Culture Rating — must work with any subset of inputs</w:t>
      </w:r>
    </w:p>
    <w:p>
      <w:pPr>
        <w:spacing w:after="100" w:before="0" w:line="264"/>
      </w:pPr>
      <w:r>
        <w:rPr>
          <w:color w:val="1A1A1A"/>
          <w:sz w:val="21"/>
          <w:szCs w:val="21"/>
        </w:rPr>
        <w:t xml:space="preserve">Agreed on the behaviour, and the calculation is in scope (Variation cl 9). Where a school has no suspensions or exclusions, or doesn’t collect certain data, the rating is calculated on the remaining inputs only — down to behaviour incidents and attendance — re-weighted correctly so it still produces a valid result. The one dependency is your official Woodford weighting (Section 9). To be clear on the boundary: the functioning rating and its calculations meet cl 9 and are included; the newly-specified ±100 / 150 / 200% expanding gauge and the per-school dashboard views are the enhancement portion (Section 5) — a delivered culture rating is what cl 9 requires, not a commitment to every later refinement of how it presents.</w:t>
      </w:r>
    </w:p>
    <w:p>
      <w:pPr>
        <w:pStyle w:val="Heading2"/>
        <w:spacing w:after="80" w:before="200"/>
      </w:pPr>
      <w:r>
        <w:rPr>
          <w:rFonts w:ascii="Arial" w:cs="Arial" w:eastAsia="Arial" w:hAnsi="Arial"/>
          <w:b/>
          <w:bCs/>
          <w:color w:val="1A1A1A"/>
          <w:sz w:val="22"/>
          <w:szCs w:val="22"/>
        </w:rPr>
        <w:t xml:space="preserve">Content Types — covered adequately</w:t>
      </w:r>
    </w:p>
    <w:p>
      <w:pPr>
        <w:spacing w:after="100" w:before="0" w:line="264"/>
      </w:pPr>
      <w:r>
        <w:rPr>
          <w:color w:val="1A1A1A"/>
          <w:sz w:val="21"/>
          <w:szCs w:val="21"/>
        </w:rPr>
        <w:t xml:space="preserve">Confirmed, and it is already agreed between us in writing (your email of 23 April) at a price not to exceed $30,000, in its own separate agreement. It is proceeding regardless. The only open points are finalising that separate Statement of Work and confirming whether the cap covers the full flow (items 18–21) or the type definition alone — see Section 4.</w:t>
      </w:r>
    </w:p>
    <w:p>
      <w:pPr>
        <w:pStyle w:val="Heading2"/>
        <w:spacing w:after="80" w:before="200"/>
      </w:pPr>
      <w:r>
        <w:rPr>
          <w:rFonts w:ascii="Arial" w:cs="Arial" w:eastAsia="Arial" w:hAnsi="Arial"/>
          <w:b/>
          <w:bCs/>
          <w:color w:val="1A1A1A"/>
          <w:sz w:val="22"/>
          <w:szCs w:val="22"/>
        </w:rPr>
        <w:t xml:space="preserve">Getting Started videos</w:t>
      </w:r>
    </w:p>
    <w:p>
      <w:pPr>
        <w:spacing w:after="60" w:before="0" w:line="264"/>
      </w:pPr>
      <w:r>
        <w:rPr>
          <w:color w:val="1A1A1A"/>
          <w:sz w:val="21"/>
          <w:szCs w:val="21"/>
        </w:rPr>
        <w:t xml:space="preserve">Happy to handle these. I’ll wire add / replace for the Staff, AP Teacher and School Admin videos under Manage Content, with first-login autoplay and replay under Support — ready to load yours the moment you send them through.</w:t>
      </w:r>
    </w:p>
    <w:p>
      <w:pPr>
        <w:pStyle w:val="Heading1"/>
        <w:pBdr>
          <w:bottom w:val="single" w:color="008490" w:sz="6" w:space="4"/>
        </w:pBdr>
        <w:spacing w:after="120" w:before="300"/>
      </w:pPr>
      <w:r>
        <w:rPr>
          <w:rFonts w:ascii="Arial" w:cs="Arial" w:eastAsia="Arial" w:hAnsi="Arial"/>
          <w:b/>
          <w:bCs/>
          <w:color w:val="008490"/>
          <w:sz w:val="26"/>
          <w:szCs w:val="26"/>
        </w:rPr>
        <w:t xml:space="preserve">8.  Indicative path</w:t>
      </w:r>
    </w:p>
    <w:p>
      <w:pPr>
        <w:spacing w:after="100" w:before="0" w:line="264"/>
      </w:pPr>
      <w:r>
        <w:rPr>
          <w:color w:val="1A1A1A"/>
          <w:sz w:val="21"/>
          <w:szCs w:val="21"/>
        </w:rPr>
        <w:t xml:space="preserve">Your consolidated requirements reached me on 22 June, and the in-scope items in Section 3 are being completed to Final Acceptance from that baseline. The additional work in Section 5 is sequenced below by dependency — indicative effort windows only, </w:t>
      </w:r>
      <w:r>
        <w:rPr>
          <w:b/>
          <w:bCs/>
          <w:color w:val="1A1A1A"/>
          <w:sz w:val="21"/>
          <w:szCs w:val="21"/>
        </w:rPr>
        <w:t xml:space="preserve">no pricing implied</w:t>
      </w:r>
      <w:r>
        <w:rPr>
          <w:color w:val="1A1A1A"/>
          <w:sz w:val="21"/>
          <w:szCs w:val="21"/>
        </w:rPr>
        <w:t xml:space="preserve">. The foundation phase (program-year model, term calendars and the schedule engine) is the critical path that unblocks the new admin Home page; later phases overlap with parallel specialists, so calendar time is less than the simple sum.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80"/>
        <w:gridCol w:w="4446"/>
        <w:gridCol w:w="1800"/>
      </w:tblGrid>
      <w:tr>
        <w:trPr>
          <w:tblHeader/>
        </w:trPr>
        <w:tc>
          <w:tcPr>
            <w:tcW w:type="dxa" w:w="278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Phase</w:t>
            </w:r>
          </w:p>
        </w:tc>
        <w:tc>
          <w:tcPr>
            <w:tcW w:type="dxa" w:w="444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Focus</w:t>
            </w:r>
          </w:p>
        </w:tc>
        <w:tc>
          <w:tcPr>
            <w:tcW w:type="dxa" w:w="18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Indicative</w:t>
            </w:r>
          </w:p>
        </w:tc>
      </w:tr>
      <w:tr>
        <w:tc>
          <w:tcPr>
            <w:tcW w:type="dxa" w:w="27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In-scope completion</w:t>
            </w:r>
          </w:p>
        </w:tc>
        <w:tc>
          <w:tcPr>
            <w:tcW w:type="dxa" w:w="444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Culture rating, reporting, certificates, documentation, defects, labels (Section 3)</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To Final Acceptance</w:t>
            </w:r>
          </w:p>
        </w:tc>
      </w:tr>
      <w:tr>
        <w:tc>
          <w:tcPr>
            <w:tcW w:type="dxa" w:w="27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  Foundations</w:t>
            </w:r>
          </w:p>
        </w:tc>
        <w:tc>
          <w:tcPr>
            <w:tcW w:type="dxa" w:w="444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Program-year model, term calendars, schedule engine (critical path)</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~5 weeks</w:t>
            </w:r>
          </w:p>
        </w:tc>
      </w:tr>
      <w:tr>
        <w:tc>
          <w:tcPr>
            <w:tcW w:type="dxa" w:w="27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B  Admin Home page</w:t>
            </w:r>
          </w:p>
        </w:tc>
        <w:tc>
          <w:tcPr>
            <w:tcW w:type="dxa" w:w="444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Active-schools, schedule status, columns &amp; drill-downs (needs A)</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~9 weeks</w:t>
            </w:r>
          </w:p>
        </w:tc>
      </w:tr>
      <w:tr>
        <w:tc>
          <w:tcPr>
            <w:tcW w:type="dxa" w:w="27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C  Content &amp; security</w:t>
            </w:r>
          </w:p>
        </w:tc>
        <w:tc>
          <w:tcPr>
            <w:tcW w:type="dxa" w:w="444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Audit log, version numbering, MFA on edits (subject to §5)</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~6 weeks</w:t>
            </w:r>
          </w:p>
        </w:tc>
      </w:tr>
      <w:tr>
        <w:tc>
          <w:tcPr>
            <w:tcW w:type="dxa" w:w="27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D  Reporting extras</w:t>
            </w:r>
          </w:p>
        </w:tc>
        <w:tc>
          <w:tcPr>
            <w:tcW w:type="dxa" w:w="444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Excel export, filter panels, export-scope options</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~3 weeks</w:t>
            </w:r>
          </w:p>
        </w:tc>
      </w:tr>
      <w:tr>
        <w:tc>
          <w:tcPr>
            <w:tcW w:type="dxa" w:w="27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E  Portal &amp; classroom</w:t>
            </w:r>
          </w:p>
        </w:tc>
        <w:tc>
          <w:tcPr>
            <w:tcW w:type="dxa" w:w="444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Role-based Home pages, delivery refinements, UX tail</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~7 weeks</w:t>
            </w:r>
          </w:p>
        </w:tc>
      </w:tr>
      <w:tr>
        <w:tc>
          <w:tcPr>
            <w:tcW w:type="dxa" w:w="27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F  Content Types</w:t>
            </w:r>
          </w:p>
        </w:tc>
        <w:tc>
          <w:tcPr>
            <w:tcW w:type="dxa" w:w="444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Multi-curriculum — separate agreement, ≤$30k (see §4)</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~4 weeks</w:t>
            </w:r>
          </w:p>
        </w:tc>
      </w:tr>
      <w:tr>
        <w:tc>
          <w:tcPr>
            <w:tcW w:type="dxa" w:w="27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G  LMS, onboarding, access</w:t>
            </w:r>
          </w:p>
        </w:tc>
        <w:tc>
          <w:tcPr>
            <w:tcW w:type="dxa" w:w="444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Certificate template, onboarding checklist, access levels + Amayda tier</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~6 weeks</w:t>
            </w:r>
          </w:p>
        </w:tc>
      </w:tr>
      <w:tr>
        <w:tc>
          <w:tcPr>
            <w:tcW w:type="dxa" w:w="27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H  Branding &amp; videos</w:t>
            </w:r>
          </w:p>
        </w:tc>
        <w:tc>
          <w:tcPr>
            <w:tcW w:type="dxa" w:w="444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BP→BA rebrand, animated logo, Getting Started video tooling</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~3 weeks</w:t>
            </w:r>
          </w:p>
        </w:tc>
      </w:tr>
    </w:tbl>
    <w:p>
      <w:pPr>
        <w:pStyle w:val="Heading1"/>
        <w:pBdr>
          <w:bottom w:val="single" w:color="008490" w:sz="6" w:space="4"/>
        </w:pBdr>
        <w:spacing w:after="120" w:before="300"/>
      </w:pPr>
      <w:r>
        <w:rPr>
          <w:rFonts w:ascii="Arial" w:cs="Arial" w:eastAsia="Arial" w:hAnsi="Arial"/>
          <w:b/>
          <w:bCs/>
          <w:color w:val="008490"/>
          <w:sz w:val="26"/>
          <w:szCs w:val="26"/>
        </w:rPr>
        <w:t xml:space="preserve">9.  What I need from you</w:t>
      </w:r>
    </w:p>
    <w:p>
      <w:pPr>
        <w:spacing w:after="80" w:before="0" w:line="264"/>
      </w:pPr>
      <w:r>
        <w:rPr>
          <w:color w:val="1A1A1A"/>
          <w:sz w:val="21"/>
          <w:szCs w:val="21"/>
        </w:rPr>
        <w:t xml:space="preserve">You’ve already supplied a great deal in your document — acknowledged here so nothing is re-requested: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Received with your 22 June document</w:t>
            </w:r>
          </w:p>
        </w:tc>
        <w:tc>
          <w:tcPr>
            <w:tcW w:type="dxa" w:w="4513"/>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Covers</w:t>
            </w:r>
          </w:p>
        </w:tc>
      </w:tr>
      <w:tr>
        <w:tc>
          <w:tcPr>
            <w:tcW w:type="dxa" w:w="4513"/>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2026 school term dates, all 8 states</w:t>
            </w:r>
          </w:p>
        </w:tc>
        <w:tc>
          <w:tcPr>
            <w:tcW w:type="dxa" w:w="4513"/>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Schedule engine / term calendars</w:t>
            </w:r>
          </w:p>
        </w:tc>
      </w:tr>
      <w:tr>
        <w:tc>
          <w:tcPr>
            <w:tcW w:type="dxa" w:w="4513"/>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Schedule rules &amp; thresholds (On/Ahead, Slightly Behind, Behind)</w:t>
            </w:r>
          </w:p>
        </w:tc>
        <w:tc>
          <w:tcPr>
            <w:tcW w:type="dxa" w:w="4513"/>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Schedule status indicators</w:t>
            </w:r>
          </w:p>
        </w:tc>
      </w:tr>
      <w:tr>
        <w:tc>
          <w:tcPr>
            <w:tcW w:type="dxa" w:w="4513"/>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Culture-rating inputs, rules &amp; gauge spec (incl. zero-input weighting)</w:t>
            </w:r>
          </w:p>
        </w:tc>
        <w:tc>
          <w:tcPr>
            <w:tcW w:type="dxa" w:w="4513"/>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Culture rating</w:t>
            </w:r>
          </w:p>
        </w:tc>
      </w:tr>
      <w:tr>
        <w:tc>
          <w:tcPr>
            <w:tcW w:type="dxa" w:w="4513"/>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Add-content-type procedure &amp; field layout</w:t>
            </w:r>
          </w:p>
        </w:tc>
        <w:tc>
          <w:tcPr>
            <w:tcW w:type="dxa" w:w="4513"/>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Content Types</w:t>
            </w:r>
          </w:p>
        </w:tc>
      </w:tr>
      <w:tr>
        <w:tc>
          <w:tcPr>
            <w:tcW w:type="dxa" w:w="4513"/>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BA animated logo (PNG) + BP→BA direction</w:t>
            </w:r>
          </w:p>
        </w:tc>
        <w:tc>
          <w:tcPr>
            <w:tcW w:type="dxa" w:w="4513"/>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Branding</w:t>
            </w:r>
          </w:p>
        </w:tc>
      </w:tr>
      <w:tr>
        <w:tc>
          <w:tcPr>
            <w:tcW w:type="dxa" w:w="4513"/>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Certificate of Achievement template + fields</w:t>
            </w:r>
          </w:p>
        </w:tc>
        <w:tc>
          <w:tcPr>
            <w:tcW w:type="dxa" w:w="4513"/>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AP Certification</w:t>
            </w:r>
          </w:p>
        </w:tc>
      </w:tr>
    </w:tbl>
    <w:p>
      <w:pPr>
        <w:spacing w:after="80" w:before="120" w:line="264"/>
      </w:pPr>
      <w:r>
        <w:rPr>
          <w:color w:val="1A1A1A"/>
          <w:sz w:val="21"/>
          <w:szCs w:val="21"/>
        </w:rPr>
        <w:t xml:space="preserve">Still outstanding before the dependent items can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4380"/>
        <w:gridCol w:w="3526"/>
      </w:tblGrid>
      <w:tr>
        <w:trPr>
          <w:tblHeader/>
        </w:trPr>
        <w:tc>
          <w:tcPr>
            <w:tcW w:type="dxa" w:w="112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Items</w:t>
            </w:r>
          </w:p>
        </w:tc>
        <w:tc>
          <w:tcPr>
            <w:tcW w:type="dxa" w:w="438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Input still required</w:t>
            </w:r>
          </w:p>
        </w:tc>
        <w:tc>
          <w:tcPr>
            <w:tcW w:type="dxa" w:w="3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9"/>
                <w:szCs w:val="19"/>
              </w:rPr>
              <w:t xml:space="preserve">Blocks</w:t>
            </w:r>
          </w:p>
        </w:tc>
      </w:tr>
      <w:tr>
        <w:tc>
          <w:tcPr>
            <w:tcW w:type="dxa" w:w="112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15–17</w:t>
            </w:r>
          </w:p>
        </w:tc>
        <w:tc>
          <w:tcPr>
            <w:tcW w:type="dxa" w:w="43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Official Woodford culture-rating weighting — please confirm the 25 April version is final</w:t>
            </w:r>
          </w:p>
        </w:tc>
        <w:tc>
          <w:tcPr>
            <w:tcW w:type="dxa" w:w="3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Formula, weighting &amp; gauge</w:t>
            </w:r>
          </w:p>
        </w:tc>
      </w:tr>
      <w:tr>
        <w:tc>
          <w:tcPr>
            <w:tcW w:type="dxa" w:w="112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22, 24, 25</w:t>
            </w:r>
          </w:p>
        </w:tc>
        <w:tc>
          <w:tcPr>
            <w:tcW w:type="dxa" w:w="43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ST4S criteria that mandate the audit log / content MFA (if any)</w:t>
            </w:r>
          </w:p>
        </w:tc>
        <w:tc>
          <w:tcPr>
            <w:tcW w:type="dxa" w:w="3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Scope decision in §5</w:t>
            </w:r>
          </w:p>
        </w:tc>
      </w:tr>
      <w:tr>
        <w:tc>
          <w:tcPr>
            <w:tcW w:type="dxa" w:w="112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26</w:t>
            </w:r>
          </w:p>
        </w:tc>
        <w:tc>
          <w:tcPr>
            <w:tcW w:type="dxa" w:w="43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Role-specific Getting Started videos (Staff / AP Teacher / School Admin)</w:t>
            </w:r>
          </w:p>
        </w:tc>
        <w:tc>
          <w:tcPr>
            <w:tcW w:type="dxa" w:w="3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First-login videos</w:t>
            </w:r>
          </w:p>
        </w:tc>
      </w:tr>
      <w:tr>
        <w:tc>
          <w:tcPr>
            <w:tcW w:type="dxa" w:w="112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38</w:t>
            </w:r>
          </w:p>
        </w:tc>
        <w:tc>
          <w:tcPr>
            <w:tcW w:type="dxa" w:w="43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Onboarding step completion dates (Benchmark received, Jeff Horn visit, Practical Training, Onboarding Session)</w:t>
            </w:r>
          </w:p>
        </w:tc>
        <w:tc>
          <w:tcPr>
            <w:tcW w:type="dxa" w:w="3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Onboarding checklist</w:t>
            </w:r>
          </w:p>
        </w:tc>
      </w:tr>
      <w:tr>
        <w:tc>
          <w:tcPr>
            <w:tcW w:type="dxa" w:w="112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36</w:t>
            </w:r>
          </w:p>
        </w:tc>
        <w:tc>
          <w:tcPr>
            <w:tcW w:type="dxa" w:w="43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Government stakeholder reporting specification</w:t>
            </w:r>
          </w:p>
        </w:tc>
        <w:tc>
          <w:tcPr>
            <w:tcW w:type="dxa" w:w="3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Government reporting view</w:t>
            </w:r>
          </w:p>
        </w:tc>
      </w:tr>
      <w:tr>
        <w:tc>
          <w:tcPr>
            <w:tcW w:type="dxa" w:w="112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29</w:t>
            </w:r>
          </w:p>
        </w:tc>
        <w:tc>
          <w:tcPr>
            <w:tcW w:type="dxa" w:w="43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“Amayda” tier definition — capabilities above Bullyproof Admin</w:t>
            </w:r>
          </w:p>
        </w:tc>
        <w:tc>
          <w:tcPr>
            <w:tcW w:type="dxa" w:w="3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Access-level hierarchy</w:t>
            </w:r>
          </w:p>
        </w:tc>
      </w:tr>
      <w:tr>
        <w:tc>
          <w:tcPr>
            <w:tcW w:type="dxa" w:w="112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18–21</w:t>
            </w:r>
          </w:p>
        </w:tc>
        <w:tc>
          <w:tcPr>
            <w:tcW w:type="dxa" w:w="43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Content Type — finalise the separate SOW, and confirm whether the ≤$30k covers 18–21 or item 18 alone</w:t>
            </w:r>
          </w:p>
        </w:tc>
        <w:tc>
          <w:tcPr>
            <w:tcW w:type="dxa" w:w="3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Closes the Content Type agreement</w:t>
            </w:r>
          </w:p>
        </w:tc>
      </w:tr>
      <w:tr>
        <w:tc>
          <w:tcPr>
            <w:tcW w:type="dxa" w:w="112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31</w:t>
            </w:r>
          </w:p>
        </w:tc>
        <w:tc>
          <w:tcPr>
            <w:tcW w:type="dxa" w:w="438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Remaining BA icon variants (cape, torch, etc.) if not derivable from the base logo</w:t>
            </w:r>
          </w:p>
        </w:tc>
        <w:tc>
          <w:tcPr>
            <w:tcW w:type="dxa" w:w="3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spacing w:line="248"/>
            </w:pPr>
            <w:r>
              <w:rPr>
                <w:color w:val="1A1A1A"/>
                <w:sz w:val="19"/>
                <w:szCs w:val="19"/>
              </w:rPr>
              <w:t xml:space="preserve">Rebrand</w:t>
            </w:r>
          </w:p>
        </w:tc>
      </w:tr>
      <w:tr>
        <w:tc>
          <w:tcPr>
            <w:tcW w:type="dxa" w:w="112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w:t>
            </w:r>
          </w:p>
        </w:tc>
        <w:tc>
          <w:tcPr>
            <w:tcW w:type="dxa" w:w="438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Term-1 data availability</w:t>
            </w:r>
          </w:p>
        </w:tc>
        <w:tc>
          <w:tcPr>
            <w:tcW w:type="dxa" w:w="3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spacing w:line="248"/>
            </w:pPr>
            <w:r>
              <w:rPr>
                <w:color w:val="1A1A1A"/>
                <w:sz w:val="19"/>
                <w:szCs w:val="19"/>
              </w:rPr>
              <w:t xml:space="preserve">Several reports intentionally gated</w:t>
            </w:r>
          </w:p>
        </w:tc>
      </w:tr>
    </w:tbl>
    <w:p>
      <w:pPr>
        <w:pStyle w:val="Heading1"/>
        <w:pBdr>
          <w:bottom w:val="single" w:color="008490" w:sz="6" w:space="4"/>
        </w:pBdr>
        <w:spacing w:after="120" w:before="300"/>
      </w:pPr>
      <w:r>
        <w:rPr>
          <w:rFonts w:ascii="Arial" w:cs="Arial" w:eastAsia="Arial" w:hAnsi="Arial"/>
          <w:b/>
          <w:bCs/>
          <w:color w:val="008490"/>
          <w:sz w:val="26"/>
          <w:szCs w:val="26"/>
        </w:rPr>
        <w:t xml:space="preserve">10.  Next steps</w:t>
      </w:r>
    </w:p>
    <w:p>
      <w:pPr>
        <w:pStyle w:val="ListParagraph"/>
        <w:numPr>
          <w:ilvl w:val="0"/>
          <w:numId w:val="2"/>
        </w:numPr>
        <w:spacing w:after="60" w:line="264"/>
      </w:pPr>
      <w:r>
        <w:rPr>
          <w:b/>
          <w:bCs/>
          <w:color w:val="1A1A1A"/>
          <w:sz w:val="21"/>
          <w:szCs w:val="21"/>
        </w:rPr>
        <w:t xml:space="preserve">The in-scope work (Section 3) continues now</w:t>
      </w:r>
      <w:r>
        <w:rPr>
          <w:color w:val="1A1A1A"/>
          <w:sz w:val="21"/>
          <w:szCs w:val="21"/>
        </w:rPr>
        <w:t xml:space="preserve"> — no action needed from you.</w:t>
      </w:r>
    </w:p>
    <w:p>
      <w:pPr>
        <w:pStyle w:val="ListParagraph"/>
        <w:numPr>
          <w:ilvl w:val="0"/>
          <w:numId w:val="2"/>
        </w:numPr>
        <w:spacing w:after="60" w:line="264"/>
      </w:pPr>
      <w:r>
        <w:rPr>
          <w:b/>
          <w:bCs/>
          <w:color w:val="1A1A1A"/>
          <w:sz w:val="21"/>
          <w:szCs w:val="21"/>
        </w:rPr>
        <w:t xml:space="preserve">Let’s finalise the Content Type SOW</w:t>
      </w:r>
      <w:r>
        <w:rPr>
          <w:color w:val="1A1A1A"/>
          <w:sz w:val="21"/>
          <w:szCs w:val="21"/>
        </w:rPr>
        <w:t xml:space="preserve"> (Section 4) — a short separate document at the agreed ≤$30,000, confirming whether it covers items 18–21 or item 18 alone.</w:t>
      </w:r>
    </w:p>
    <w:p>
      <w:pPr>
        <w:pStyle w:val="ListParagraph"/>
        <w:numPr>
          <w:ilvl w:val="0"/>
          <w:numId w:val="2"/>
        </w:numPr>
        <w:spacing w:after="60" w:line="264"/>
      </w:pPr>
      <w:r>
        <w:rPr>
          <w:b/>
          <w:bCs/>
          <w:color w:val="1A1A1A"/>
          <w:sz w:val="21"/>
          <w:szCs w:val="21"/>
        </w:rPr>
        <w:t xml:space="preserve">Please confirm the boundary</w:t>
      </w:r>
      <w:r>
        <w:rPr>
          <w:color w:val="1A1A1A"/>
          <w:sz w:val="21"/>
          <w:szCs w:val="21"/>
        </w:rPr>
        <w:t xml:space="preserve"> — the additional list (Section 5) and the three reconciliation items (Section 6). Once agreed, I’ll issue the costed change request under SDA cl 10, with a firm schedule.</w:t>
      </w:r>
    </w:p>
    <w:p>
      <w:pPr>
        <w:pStyle w:val="ListParagraph"/>
        <w:numPr>
          <w:ilvl w:val="0"/>
          <w:numId w:val="2"/>
        </w:numPr>
        <w:spacing w:after="60" w:line="264"/>
      </w:pPr>
      <w:r>
        <w:rPr>
          <w:b/>
          <w:bCs/>
          <w:color w:val="1A1A1A"/>
          <w:sz w:val="21"/>
          <w:szCs w:val="21"/>
        </w:rPr>
        <w:t xml:space="preserve">Send the outstanding inputs</w:t>
      </w:r>
      <w:r>
        <w:rPr>
          <w:color w:val="1A1A1A"/>
          <w:sz w:val="21"/>
          <w:szCs w:val="21"/>
        </w:rPr>
        <w:t xml:space="preserve"> (Section 9) as they come to hand, so no phase stalls waiting on content.</w:t>
      </w:r>
    </w:p>
    <w:p>
      <w:pPr>
        <w:pStyle w:val="ListParagraph"/>
        <w:numPr>
          <w:ilvl w:val="0"/>
          <w:numId w:val="2"/>
        </w:numPr>
        <w:spacing w:after="60" w:line="264"/>
      </w:pPr>
      <w:r>
        <w:rPr>
          <w:color w:val="1A1A1A"/>
          <w:sz w:val="21"/>
          <w:szCs w:val="21"/>
        </w:rPr>
        <w:t xml:space="preserve">A short call to walk through Sections 5 and 6 would get us to an agreed basis fastest — happy to set one up whenever suits.</w:t>
      </w:r>
    </w:p>
    <w:p>
      <w:pPr>
        <w:spacing w:after="160" w:before="100" w:line="264"/>
      </w:pPr>
      <w:r>
        <w:rPr>
          <w:b/>
          <w:bCs/>
          <w:color w:val="1A1A1A"/>
          <w:sz w:val="21"/>
          <w:szCs w:val="21"/>
        </w:rPr>
        <w:t xml:space="preserve">Sent with this response: </w:t>
      </w:r>
      <w:r>
        <w:rPr>
          <w:i/>
          <w:iCs/>
          <w:color w:val="1A1A1A"/>
          <w:sz w:val="21"/>
          <w:szCs w:val="21"/>
        </w:rPr>
        <w:t xml:space="preserve">Bullyproof — SOW Completion Register</w:t>
      </w:r>
      <w:r>
        <w:rPr>
          <w:color w:val="1A1A1A"/>
          <w:sz w:val="21"/>
          <w:szCs w:val="21"/>
        </w:rPr>
        <w:t xml:space="preserve"> (the original deliverables mapped against the build, the genuine defects fixed at no charge, and the additional work set out by area).</w:t>
      </w:r>
    </w:p>
    <w:p>
      <w:pPr>
        <w:spacing w:after="200" w:before="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0" w:before="0" w:line="264"/>
      </w:pPr>
      <w:r>
        <w:rPr>
          <w:color w:val="5A5A5A"/>
          <w:sz w:val="19"/>
          <w:szCs w:val="19"/>
        </w:rPr>
        <w:t xml:space="preserve">agirton@intradark.com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Confidential — prepared for Amayda Pty Ltd</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Bullyproof Platform — Scope Review &amp; Change Request</dc:title>
  <dc:creator>Intradark</dc:creator>
  <cp:lastModifiedBy>Un-named</cp:lastModifiedBy>
  <cp:revision>1</cp:revision>
  <dcterms:created xsi:type="dcterms:W3CDTF">2026-06-29T10:23:55.092Z</dcterms:created>
  <dcterms:modified xsi:type="dcterms:W3CDTF">2026-06-29T10:23:55.093Z</dcterms:modified>
</cp:coreProperties>
</file>

<file path=docProps/custom.xml><?xml version="1.0" encoding="utf-8"?>
<Properties xmlns="http://schemas.openxmlformats.org/officeDocument/2006/custom-properties" xmlns:vt="http://schemas.openxmlformats.org/officeDocument/2006/docPropsVTypes"/>
</file>