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952625" cy="266700"/>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266700"/>
                    </a:xfrm>
                    <a:prstGeom prst="rect">
                      <a:avLst/>
                    </a:prstGeom>
                  </pic:spPr>
                </pic:pic>
              </a:graphicData>
            </a:graphic>
          </wp:inline>
        </w:drawing>
      </w:r>
    </w:p>
    <w:p>
      <w:pPr>
        <w:pBdr>
          <w:bottom w:val="single" w:color="008490" w:sz="10" w:space="6"/>
        </w:pBdr>
        <w:spacing w:after="60" w:before="80"/>
      </w:pPr>
      <w:r>
        <w:rPr>
          <w:i/>
          <w:iCs/>
          <w:color w:val="5A5A5A"/>
          <w:sz w:val="17"/>
          <w:szCs w:val="17"/>
        </w:rPr>
        <w:t xml:space="preserve">Intradark Pty Ltd  ·  ABN 38 696 182 457</w:t>
      </w:r>
    </w:p>
    <w:p>
      <w:pPr>
        <w:spacing w:after="40" w:before="220"/>
      </w:pPr>
      <w:r>
        <w:rPr>
          <w:rFonts w:ascii="Arial" w:cs="Arial" w:eastAsia="Arial" w:hAnsi="Arial"/>
          <w:b/>
          <w:bCs/>
          <w:color w:val="008490"/>
          <w:sz w:val="26"/>
          <w:szCs w:val="26"/>
        </w:rPr>
        <w:t xml:space="preserve">Bullyproof Platform - Change-Request Proposal</w:t>
      </w:r>
    </w:p>
    <w:p>
      <w:pPr>
        <w:spacing w:after="160"/>
      </w:pPr>
      <w:r>
        <w:rPr>
          <w:i/>
          <w:iCs/>
          <w:color w:val="5A5A5A"/>
          <w:sz w:val="20"/>
          <w:szCs w:val="20"/>
        </w:rPr>
        <w:t xml:space="preserve">Itemised quote for the new work, with timelines and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To:</w:t>
            </w:r>
          </w:p>
        </w:tc>
        <w:tc>
          <w:tcPr>
            <w:tcW w:type="dxa" w:w="7526"/>
            <w:tcBorders>
              <w:top w:val="none"/>
              <w:left w:val="none"/>
              <w:bottom w:val="none"/>
              <w:right w:val="none"/>
            </w:tcBorders>
            <w:tcMar>
              <w:top w:type="dxa" w:w="26"/>
              <w:left w:type="dxa" w:w="0"/>
              <w:bottom w:type="dxa" w:w="26"/>
              <w:right w:type="dxa" w:w="0"/>
            </w:tcMar>
          </w:tcPr>
          <w:p>
            <w:r>
              <w:rPr>
                <w:b/>
                <w:bCs/>
                <w:color w:val="1A1A1A"/>
                <w:sz w:val="20"/>
                <w:szCs w:val="20"/>
              </w:rPr>
              <w:t xml:space="preserve">Glenn Rushton</w:t>
            </w:r>
            <w:r>
              <w:rPr>
                <w:color w:val="5A5A5A"/>
                <w:sz w:val="19"/>
                <w:szCs w:val="19"/>
              </w:rPr>
              <w:t xml:space="preserve">  -  Director, Amayda Pty Ltd</w:t>
            </w:r>
            <w:r>
              <w:rPr>
                <w:color w:val="5A5A5A"/>
                <w:sz w:val="17"/>
                <w:szCs w:val="17"/>
              </w:rPr>
              <w:t xml:space="preserve">  (ABN 45 629 524 769)</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From:</w:t>
            </w:r>
          </w:p>
        </w:tc>
        <w:tc>
          <w:tcPr>
            <w:tcW w:type="dxa" w:w="7526"/>
            <w:tcBorders>
              <w:top w:val="none"/>
              <w:left w:val="none"/>
              <w:bottom w:val="none"/>
              <w:right w:val="none"/>
            </w:tcBorders>
            <w:tcMar>
              <w:top w:type="dxa" w:w="26"/>
              <w:left w:type="dxa" w:w="0"/>
              <w:bottom w:type="dxa" w:w="26"/>
              <w:right w:type="dxa" w:w="0"/>
            </w:tcMar>
          </w:tcPr>
          <w:p>
            <w:r>
              <w:rPr>
                <w:b/>
                <w:bCs/>
                <w:color w:val="1A1A1A"/>
                <w:sz w:val="20"/>
                <w:szCs w:val="20"/>
              </w:rPr>
              <w:t xml:space="preserve">Aaron J. Girton</w:t>
            </w:r>
            <w:r>
              <w:rPr>
                <w:color w:val="5A5A5A"/>
                <w:sz w:val="19"/>
                <w:szCs w:val="19"/>
              </w:rPr>
              <w:t xml:space="preserve">  -  Director, Intradark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Date: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29 June 2026</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Re: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Quote for the additional work in your 22 June review - priced, scoped and scheduled</w:t>
            </w:r>
          </w:p>
        </w:tc>
      </w:tr>
    </w:tbl>
    <w:p>
      <w:pPr>
        <w:spacing w:after="60"/>
      </w:pPr>
    </w:p>
    <w:p>
      <w:pPr>
        <w:spacing w:after="120" w:before="0" w:line="264"/>
      </w:pPr>
      <w:r>
        <w:rPr>
          <w:color w:val="1A1A1A"/>
          <w:sz w:val="22"/>
          <w:szCs w:val="22"/>
        </w:rPr>
        <w:t xml:space="preserve">Glenn,</w:t>
      </w:r>
    </w:p>
    <w:p>
      <w:pPr>
        <w:spacing w:after="120" w:before="0" w:line="264"/>
      </w:pPr>
      <w:r>
        <w:rPr>
          <w:color w:val="1A1A1A"/>
          <w:sz w:val="21"/>
          <w:szCs w:val="21"/>
        </w:rPr>
        <w:t xml:space="preserve">As requested, here is the itemised quote for the new work - each module priced and scoped so you can commission what you want, when you want. Pricing is </w:t>
      </w:r>
      <w:r>
        <w:rPr>
          <w:b/>
          <w:bCs/>
          <w:color w:val="1A1A1A"/>
          <w:sz w:val="21"/>
          <w:szCs w:val="21"/>
        </w:rPr>
        <w:t xml:space="preserve">fixed</w:t>
      </w:r>
      <w:r>
        <w:rPr>
          <w:color w:val="1A1A1A"/>
          <w:sz w:val="21"/>
          <w:szCs w:val="21"/>
        </w:rPr>
        <w:t xml:space="preserve">, broken down by discipline so you can see exactly what goes into each piece, at conservative senior rates. All figures are ex-GST unless stated; Intradark Pty Ltd invoices Amayda with GST added.</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1.  How this is structured &amp; priced</w:t>
      </w:r>
    </w:p>
    <w:p>
      <w:pPr>
        <w:pStyle w:val="ListParagraph"/>
        <w:numPr>
          <w:ilvl w:val="0"/>
          <w:numId w:val="2"/>
        </w:numPr>
        <w:spacing w:after="60" w:line="264"/>
      </w:pPr>
      <w:r>
        <w:rPr>
          <w:b/>
          <w:bCs/>
          <w:color w:val="1A1A1A"/>
          <w:sz w:val="21"/>
          <w:szCs w:val="21"/>
        </w:rPr>
        <w:t xml:space="preserve">Fixed price per module</w:t>
      </w:r>
      <w:r>
        <w:rPr>
          <w:color w:val="1A1A1A"/>
          <w:sz w:val="21"/>
          <w:szCs w:val="21"/>
        </w:rPr>
        <w:t xml:space="preserve"> - commission any module on its own, or the whole program at a discount.</w:t>
      </w:r>
    </w:p>
    <w:p>
      <w:pPr>
        <w:pStyle w:val="ListParagraph"/>
        <w:numPr>
          <w:ilvl w:val="0"/>
          <w:numId w:val="2"/>
        </w:numPr>
        <w:spacing w:after="60" w:line="264"/>
      </w:pPr>
      <w:r>
        <w:rPr>
          <w:b/>
          <w:bCs/>
          <w:color w:val="1A1A1A"/>
          <w:sz w:val="21"/>
          <w:szCs w:val="21"/>
        </w:rPr>
        <w:t xml:space="preserve">Discipline breakdown, in hours</w:t>
      </w:r>
      <w:r>
        <w:rPr>
          <w:color w:val="1A1A1A"/>
          <w:sz w:val="21"/>
          <w:szCs w:val="21"/>
        </w:rPr>
        <w:t xml:space="preserve"> - every module is costed by UX/design, frontend, backend, DevOps and product-management effort, task by task, at conservative senior contract hourly rates.</w:t>
      </w:r>
    </w:p>
    <w:p>
      <w:pPr>
        <w:pStyle w:val="ListParagraph"/>
        <w:numPr>
          <w:ilvl w:val="0"/>
          <w:numId w:val="2"/>
        </w:numPr>
        <w:spacing w:after="60" w:line="264"/>
      </w:pPr>
      <w:r>
        <w:rPr>
          <w:b/>
          <w:bCs/>
          <w:color w:val="1A1A1A"/>
          <w:sz w:val="21"/>
          <w:szCs w:val="21"/>
        </w:rPr>
        <w:t xml:space="preserve">Three buckets</w:t>
      </w:r>
      <w:r>
        <w:rPr>
          <w:color w:val="1A1A1A"/>
          <w:sz w:val="21"/>
          <w:szCs w:val="21"/>
        </w:rPr>
        <w:t xml:space="preserve"> - the new work (priced below); the work that completes Phase 1 (§4 - covered by the balance already payable, not billed here); and genuine goodwill at no charge (§4).</w:t>
      </w:r>
    </w:p>
    <w:p>
      <w:pPr>
        <w:pStyle w:val="ListParagraph"/>
        <w:numPr>
          <w:ilvl w:val="0"/>
          <w:numId w:val="2"/>
        </w:numPr>
        <w:spacing w:after="60" w:line="264"/>
      </w:pPr>
      <w:r>
        <w:rPr>
          <w:b/>
          <w:bCs/>
          <w:color w:val="1A1A1A"/>
          <w:sz w:val="21"/>
          <w:szCs w:val="21"/>
        </w:rPr>
        <w:t xml:space="preserve">M1 - Content Type</w:t>
      </w:r>
      <w:r>
        <w:rPr>
          <w:color w:val="1A1A1A"/>
          <w:sz w:val="21"/>
          <w:szCs w:val="21"/>
        </w:rPr>
        <w:t xml:space="preserve"> proceeds as separately agreed in April (§3).</w:t>
      </w:r>
    </w:p>
    <w:p>
      <w:pPr>
        <w:pBdr>
          <w:left w:val="single" w:color="008490" w:sz="18" w:space="12"/>
        </w:pBdr>
        <w:shd w:fill="EAF4F5" w:val="clear"/>
        <w:spacing w:after="120" w:before="40" w:line="264"/>
      </w:pPr>
      <w:r>
        <w:rPr>
          <w:b/>
          <w:bCs/>
          <w:color w:val="1A1A1A"/>
          <w:sz w:val="21"/>
          <w:szCs w:val="21"/>
        </w:rPr>
        <w:t xml:space="preserve">Rates are conservative. </w:t>
      </w:r>
      <w:r>
        <w:rPr>
          <w:color w:val="1A1A1A"/>
          <w:sz w:val="21"/>
          <w:szCs w:val="21"/>
        </w:rPr>
        <w:t xml:space="preserve">Every discipline is priced at or below the bottom of the senior market band (Australian contract day rates, FY25/26 - benchmark in the appendix). Nothing here is at mid- or top-of-market.</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2.  New-functionality modules</w:t>
      </w:r>
    </w:p>
    <w:p>
      <w:pPr>
        <w:spacing w:after="90" w:before="0" w:line="264"/>
      </w:pPr>
      <w:r>
        <w:rPr>
          <w:color w:val="1A1A1A"/>
          <w:sz w:val="21"/>
          <w:szCs w:val="21"/>
        </w:rPr>
        <w:t xml:space="preserve">Eight modules - M1 is the Content Type as separately agreed in April. Each has its own detailed quote document, with a full work breakdown of what every discipline does - task by task, from schema migrations to test passes - plus an appendix quoting the excerpts of your 22 June document the module responds to, so every price traces directly to your request. The headline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50"/>
        <w:gridCol w:w="1150"/>
        <w:gridCol w:w="1500"/>
        <w:gridCol w:w="1226"/>
      </w:tblGrid>
      <w:tr>
        <w:trPr>
          <w:tblHeader/>
        </w:trPr>
        <w:tc>
          <w:tcPr>
            <w:tcW w:type="dxa" w:w="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w:t>
            </w:r>
          </w:p>
        </w:tc>
        <w:tc>
          <w:tcPr>
            <w:tcW w:type="dxa" w:w="45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Module</w:t>
            </w:r>
          </w:p>
        </w:tc>
        <w:tc>
          <w:tcPr>
            <w:tcW w:type="dxa" w:w="11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Hours</w:t>
            </w:r>
          </w:p>
        </w:tc>
        <w:tc>
          <w:tcPr>
            <w:tcW w:type="dxa" w:w="15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Price ex-GST</w:t>
            </w:r>
          </w:p>
        </w:tc>
        <w:tc>
          <w:tcPr>
            <w:tcW w:type="dxa" w:w="12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Delivery</w:t>
            </w:r>
          </w:p>
        </w:tc>
      </w:tr>
      <w:tr>
        <w:tc>
          <w:tcPr>
            <w:tcW w:type="dxa" w:w="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1</w:t>
            </w:r>
          </w:p>
        </w:tc>
        <w:tc>
          <w:tcPr>
            <w:tcW w:type="dxa" w:w="45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Content Type - as separately agreed (under the $30,000 cap)</w:t>
            </w:r>
          </w:p>
        </w:tc>
        <w:tc>
          <w:tcPr>
            <w:tcW w:type="dxa" w:w="11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178</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$19,112.50</w:t>
            </w:r>
          </w:p>
        </w:tc>
        <w:tc>
          <w:tcPr>
            <w:tcW w:type="dxa" w:w="1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~1.5 weeks</w:t>
            </w:r>
          </w:p>
        </w:tc>
      </w:tr>
      <w:tr>
        <w:tc>
          <w:tcPr>
            <w:tcW w:type="dxa" w:w="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2</w:t>
            </w:r>
          </w:p>
        </w:tc>
        <w:tc>
          <w:tcPr>
            <w:tcW w:type="dxa" w:w="45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Schedule Engine &amp; School Terms</w:t>
            </w:r>
          </w:p>
        </w:tc>
        <w:tc>
          <w:tcPr>
            <w:tcW w:type="dxa" w:w="11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308</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$33,481.25</w:t>
            </w:r>
          </w:p>
        </w:tc>
        <w:tc>
          <w:tcPr>
            <w:tcW w:type="dxa" w:w="1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1.5–2 weeks</w:t>
            </w:r>
          </w:p>
        </w:tc>
      </w:tr>
      <w:tr>
        <w:tc>
          <w:tcPr>
            <w:tcW w:type="dxa" w:w="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3</w:t>
            </w:r>
          </w:p>
        </w:tc>
        <w:tc>
          <w:tcPr>
            <w:tcW w:type="dxa" w:w="45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Admin Program-Health Dashboard</w:t>
            </w:r>
          </w:p>
        </w:tc>
        <w:tc>
          <w:tcPr>
            <w:tcW w:type="dxa" w:w="11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283</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$30,337.50</w:t>
            </w:r>
          </w:p>
        </w:tc>
        <w:tc>
          <w:tcPr>
            <w:tcW w:type="dxa" w:w="1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1.5 weeks</w:t>
            </w:r>
          </w:p>
        </w:tc>
      </w:tr>
      <w:tr>
        <w:tc>
          <w:tcPr>
            <w:tcW w:type="dxa" w:w="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4</w:t>
            </w:r>
          </w:p>
        </w:tc>
        <w:tc>
          <w:tcPr>
            <w:tcW w:type="dxa" w:w="45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Reporting &amp; Exports</w:t>
            </w:r>
          </w:p>
        </w:tc>
        <w:tc>
          <w:tcPr>
            <w:tcW w:type="dxa" w:w="11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243</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$25,968.75</w:t>
            </w:r>
          </w:p>
        </w:tc>
        <w:tc>
          <w:tcPr>
            <w:tcW w:type="dxa" w:w="1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1 week</w:t>
            </w:r>
          </w:p>
        </w:tc>
      </w:tr>
      <w:tr>
        <w:tc>
          <w:tcPr>
            <w:tcW w:type="dxa" w:w="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5</w:t>
            </w:r>
          </w:p>
        </w:tc>
        <w:tc>
          <w:tcPr>
            <w:tcW w:type="dxa" w:w="45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Content Governance &amp; Security</w:t>
            </w:r>
          </w:p>
        </w:tc>
        <w:tc>
          <w:tcPr>
            <w:tcW w:type="dxa" w:w="11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142</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$15,512.50</w:t>
            </w:r>
          </w:p>
        </w:tc>
        <w:tc>
          <w:tcPr>
            <w:tcW w:type="dxa" w:w="1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1 week</w:t>
            </w:r>
          </w:p>
        </w:tc>
      </w:tr>
      <w:tr>
        <w:tc>
          <w:tcPr>
            <w:tcW w:type="dxa" w:w="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6</w:t>
            </w:r>
          </w:p>
        </w:tc>
        <w:tc>
          <w:tcPr>
            <w:tcW w:type="dxa" w:w="45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Culture-Rating UX Upgrade</w:t>
            </w:r>
          </w:p>
        </w:tc>
        <w:tc>
          <w:tcPr>
            <w:tcW w:type="dxa" w:w="11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71</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$7,531.25</w:t>
            </w:r>
          </w:p>
        </w:tc>
        <w:tc>
          <w:tcPr>
            <w:tcW w:type="dxa" w:w="1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3–4 days</w:t>
            </w:r>
          </w:p>
        </w:tc>
      </w:tr>
      <w:tr>
        <w:tc>
          <w:tcPr>
            <w:tcW w:type="dxa" w:w="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7</w:t>
            </w:r>
          </w:p>
        </w:tc>
        <w:tc>
          <w:tcPr>
            <w:tcW w:type="dxa" w:w="45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School Portal &amp; Classroom</w:t>
            </w:r>
          </w:p>
        </w:tc>
        <w:tc>
          <w:tcPr>
            <w:tcW w:type="dxa" w:w="11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179</w:t>
            </w:r>
          </w:p>
        </w:tc>
        <w:tc>
          <w:tcPr>
            <w:tcW w:type="dxa" w:w="1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$19,137.50</w:t>
            </w:r>
          </w:p>
        </w:tc>
        <w:tc>
          <w:tcPr>
            <w:tcW w:type="dxa" w:w="1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1.5 weeks</w:t>
            </w:r>
          </w:p>
        </w:tc>
      </w:tr>
      <w:tr>
        <w:tc>
          <w:tcPr>
            <w:tcW w:type="dxa" w:w="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8</w:t>
            </w:r>
          </w:p>
        </w:tc>
        <w:tc>
          <w:tcPr>
            <w:tcW w:type="dxa" w:w="45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Onboarding &amp; Access Levels</w:t>
            </w:r>
          </w:p>
        </w:tc>
        <w:tc>
          <w:tcPr>
            <w:tcW w:type="dxa" w:w="11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189</w:t>
            </w:r>
          </w:p>
        </w:tc>
        <w:tc>
          <w:tcPr>
            <w:tcW w:type="dxa" w:w="1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$20,268.75</w:t>
            </w:r>
          </w:p>
        </w:tc>
        <w:tc>
          <w:tcPr>
            <w:tcW w:type="dxa" w:w="1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1 week</w:t>
            </w:r>
          </w:p>
        </w:tc>
      </w:tr>
    </w:tbl>
    <w:p>
      <w:pPr>
        <w:spacing w:after="4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150"/>
        <w:gridCol w:w="1650"/>
        <w:gridCol w:w="1226"/>
      </w:tblGrid>
      <w:tr>
        <w:trPr>
          <w:tblHeader/>
        </w:trPr>
        <w:tc>
          <w:tcPr>
            <w:tcW w:type="dxa" w:w="51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6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2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r>
      <w:tr>
        <w:tc>
          <w:tcPr>
            <w:tcW w:type="dxa" w:w="515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All eight modules at listed prices</w:t>
            </w:r>
          </w:p>
        </w:tc>
        <w:tc>
          <w:tcPr>
            <w:tcW w:type="dxa" w:w="165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1,593 hours</w:t>
            </w:r>
          </w:p>
        </w:tc>
        <w:tc>
          <w:tcPr>
            <w:tcW w:type="dxa" w:w="12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20"/>
                <w:szCs w:val="20"/>
              </w:rPr>
              <w:t xml:space="preserve">$171,350.00</w:t>
            </w:r>
          </w:p>
        </w:tc>
      </w:tr>
      <w:tr>
        <w:tc>
          <w:tcPr>
            <w:tcW w:type="dxa" w:w="515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Everything together - 20% commitment discount</w:t>
            </w:r>
          </w:p>
        </w:tc>
        <w:tc>
          <w:tcPr>
            <w:tcW w:type="dxa" w:w="165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
            </w:r>
          </w:p>
        </w:tc>
        <w:tc>
          <w:tcPr>
            <w:tcW w:type="dxa" w:w="12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1B7A3D"/>
                <w:sz w:val="20"/>
                <w:szCs w:val="20"/>
              </w:rPr>
              <w:t xml:space="preserve">$137,080.00</w:t>
            </w:r>
          </w:p>
        </w:tc>
      </w:tr>
    </w:tbl>
    <w:p>
      <w:pPr>
        <w:spacing w:after="60" w:before="60" w:line="264"/>
      </w:pPr>
      <w:r>
        <w:rPr>
          <w:i/>
          <w:iCs/>
          <w:color w:val="5A5A5A"/>
          <w:sz w:val="19"/>
          <w:szCs w:val="19"/>
        </w:rPr>
        <w:t xml:space="preserve">The 20% discount (saving $34,270.00) applies when the whole program is commissioned together - a commitment to the working relationship. Prefer to pick and choose? Every module is simply at its listed price - the choice is yours.</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3.  M1 - Content Type - as separately agreed</w:t>
      </w:r>
    </w:p>
    <w:p>
      <w:pPr>
        <w:spacing w:after="80" w:before="0" w:line="264"/>
      </w:pPr>
      <w:r>
        <w:rPr>
          <w:color w:val="1A1A1A"/>
          <w:sz w:val="21"/>
          <w:szCs w:val="21"/>
        </w:rPr>
        <w:t xml:space="preserve">Per your email of 23 April 2026, the Content Type proceeds in its own agreement at a price not to exceed $30,000. Scoped task by task, it comes to </w:t>
      </w:r>
      <w:r>
        <w:rPr>
          <w:b/>
          <w:bCs/>
          <w:color w:val="1A1A1A"/>
          <w:sz w:val="21"/>
          <w:szCs w:val="21"/>
        </w:rPr>
        <w:t xml:space="preserve">$19,112.50</w:t>
      </w:r>
      <w:r>
        <w:rPr>
          <w:color w:val="1A1A1A"/>
          <w:sz w:val="21"/>
          <w:szCs w:val="21"/>
        </w:rPr>
        <w:t xml:space="preserve"> ex-GST - $10,887.50 (36%) under the cap. The same costing method and the same rate card - hours per task, per discipline - price every module in this proposal identically. Detailed in its own quote document; note Thursday Island cannot start until the Content Type is operational.</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150"/>
        <w:gridCol w:w="1650"/>
        <w:gridCol w:w="1226"/>
      </w:tblGrid>
      <w:tr>
        <w:trPr>
          <w:tblHeader/>
        </w:trPr>
        <w:tc>
          <w:tcPr>
            <w:tcW w:type="dxa" w:w="51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Item</w:t>
            </w:r>
          </w:p>
        </w:tc>
        <w:tc>
          <w:tcPr>
            <w:tcW w:type="dxa" w:w="16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2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Price ex-GST</w:t>
            </w:r>
          </w:p>
        </w:tc>
      </w:tr>
      <w:tr>
        <w:tc>
          <w:tcPr>
            <w:tcW w:type="dxa" w:w="515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color w:val="1A1A1A"/>
                <w:sz w:val="21"/>
                <w:szCs w:val="21"/>
              </w:rPr>
              <w:t xml:space="preserve">Content Type (agreed - under the $30,000 cap)</w:t>
            </w:r>
          </w:p>
        </w:tc>
        <w:tc>
          <w:tcPr>
            <w:tcW w:type="dxa" w:w="165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color w:val="5A5A5A"/>
                <w:sz w:val="18"/>
                <w:szCs w:val="18"/>
              </w:rPr>
              <w:t xml:space="preserve">~1.5 wks</w:t>
            </w:r>
          </w:p>
        </w:tc>
        <w:tc>
          <w:tcPr>
            <w:tcW w:type="dxa" w:w="1226"/>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sz w:val="19"/>
                <w:szCs w:val="19"/>
              </w:rPr>
              <w:t xml:space="preserve">$19,112.50</w:t>
            </w:r>
          </w:p>
        </w:tc>
      </w:tr>
      <w:tr>
        <w:tc>
          <w:tcPr>
            <w:tcW w:type="dxa" w:w="515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color w:val="1A1A1A"/>
                <w:sz w:val="21"/>
                <w:szCs w:val="21"/>
              </w:rPr>
              <w:t xml:space="preserve">Class-selection guidance (optional companion piece)</w:t>
            </w:r>
          </w:p>
        </w:tc>
        <w:tc>
          <w:tcPr>
            <w:tcW w:type="dxa" w:w="165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sz w:val="19"/>
                <w:szCs w:val="19"/>
              </w:rPr>
              <w:t xml:space="preserve"/>
            </w:r>
          </w:p>
        </w:tc>
        <w:tc>
          <w:tcPr>
            <w:tcW w:type="dxa" w:w="1226"/>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sz w:val="19"/>
                <w:szCs w:val="19"/>
              </w:rPr>
              <w:t xml:space="preserve">$1,900.00</w:t>
            </w:r>
          </w:p>
        </w:tc>
      </w:tr>
      <w:tr>
        <w:tc>
          <w:tcPr>
            <w:tcW w:type="dxa" w:w="515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color w:val="1A1A1A"/>
                <w:sz w:val="21"/>
                <w:szCs w:val="21"/>
              </w:rPr>
              <w:t xml:space="preserve">Related class-selection defect fixes</w:t>
            </w:r>
          </w:p>
        </w:tc>
        <w:tc>
          <w:tcPr>
            <w:tcW w:type="dxa" w:w="165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sz w:val="19"/>
                <w:szCs w:val="19"/>
              </w:rPr>
              <w:t xml:space="preserve"/>
            </w:r>
          </w:p>
        </w:tc>
        <w:tc>
          <w:tcPr>
            <w:tcW w:type="dxa" w:w="1226"/>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b/>
                <w:bCs/>
                <w:color w:val="1B7A3D"/>
                <w:sz w:val="19"/>
                <w:szCs w:val="19"/>
              </w:rPr>
              <w:t xml:space="preserve">free</w:t>
            </w:r>
          </w:p>
        </w:tc>
      </w:tr>
    </w:tbl>
    <w:p>
      <w:pPr>
        <w:pStyle w:val="Heading1"/>
        <w:pageBreakBefore/>
        <w:pBdr>
          <w:bottom w:val="single" w:color="008490" w:sz="6" w:space="4"/>
        </w:pBdr>
        <w:spacing w:after="120" w:before="60"/>
      </w:pPr>
      <w:r>
        <w:rPr>
          <w:rFonts w:ascii="Arial" w:cs="Arial" w:eastAsia="Arial" w:hAnsi="Arial"/>
          <w:b/>
          <w:bCs/>
          <w:color w:val="008490"/>
          <w:sz w:val="26"/>
          <w:szCs w:val="26"/>
        </w:rPr>
        <w:t xml:space="preserve">4.  Not billed in this quote - completing Phase 1, plus goodwill</w:t>
      </w:r>
    </w:p>
    <w:p>
      <w:pPr>
        <w:spacing w:after="80" w:before="0" w:line="264"/>
      </w:pPr>
      <w:r>
        <w:rPr>
          <w:color w:val="1A1A1A"/>
          <w:sz w:val="21"/>
          <w:szCs w:val="21"/>
        </w:rPr>
        <w:t xml:space="preserve">Two kinds of work sit outside this quote, for different reasons - shown so the picture is complete: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150"/>
        <w:gridCol w:w="1650"/>
        <w:gridCol w:w="1226"/>
      </w:tblGrid>
      <w:tr>
        <w:trPr>
          <w:tblHeader/>
        </w:trPr>
        <w:tc>
          <w:tcPr>
            <w:tcW w:type="dxa" w:w="51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6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Basis</w:t>
            </w:r>
          </w:p>
        </w:tc>
        <w:tc>
          <w:tcPr>
            <w:tcW w:type="dxa" w:w="12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Value ex-GST</w:t>
            </w:r>
          </w:p>
        </w:tc>
      </w:tr>
      <w:tr>
        <w:tc>
          <w:tcPr>
            <w:tcW w:type="dxa" w:w="51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21"/>
                <w:szCs w:val="21"/>
              </w:rPr>
              <w:t xml:space="preserve">Outstanding contract work</w:t>
            </w:r>
            <w:r>
              <w:rPr>
                <w:color w:val="5A5A5A"/>
                <w:sz w:val="17"/>
                <w:szCs w:val="17"/>
              </w:rPr>
              <w:t xml:space="preserve">  (culture calc, functional reporting, certificates, documentation)</w:t>
            </w:r>
          </w:p>
        </w:tc>
        <w:tc>
          <w:tcPr>
            <w:tcW w:type="dxa" w:w="16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5A5A5A"/>
                <w:sz w:val="18"/>
                <w:szCs w:val="18"/>
              </w:rPr>
              <w:t xml:space="preserve">Original agreement</w:t>
            </w:r>
          </w:p>
        </w:tc>
        <w:tc>
          <w:tcPr>
            <w:tcW w:type="dxa" w:w="1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$13,662.50</w:t>
            </w:r>
          </w:p>
        </w:tc>
      </w:tr>
      <w:tr>
        <w:tc>
          <w:tcPr>
            <w:tcW w:type="dxa" w:w="51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21"/>
                <w:szCs w:val="21"/>
              </w:rPr>
              <w:t xml:space="preserve">Genuine defects</w:t>
            </w:r>
            <w:r>
              <w:rPr>
                <w:color w:val="5A5A5A"/>
                <w:sz w:val="17"/>
                <w:szCs w:val="17"/>
              </w:rPr>
              <w:t xml:space="preserve">  (address save, template feedback, Teach-Lessons, recommendation, user-column sort arrows, Global Resources investigation)</w:t>
            </w:r>
          </w:p>
        </w:tc>
        <w:tc>
          <w:tcPr>
            <w:tcW w:type="dxa" w:w="16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5A5A5A"/>
                <w:sz w:val="18"/>
                <w:szCs w:val="18"/>
              </w:rPr>
              <w:t xml:space="preserve">Warranty</w:t>
            </w:r>
          </w:p>
        </w:tc>
        <w:tc>
          <w:tcPr>
            <w:tcW w:type="dxa" w:w="1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$10,068.75</w:t>
            </w:r>
          </w:p>
        </w:tc>
      </w:tr>
      <w:tr>
        <w:tc>
          <w:tcPr>
            <w:tcW w:type="dxa" w:w="51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21"/>
                <w:szCs w:val="21"/>
              </w:rPr>
              <w:t xml:space="preserve">Completing Phase 1 - covered by the balance payable under the agreement (§7)</w:t>
            </w:r>
          </w:p>
        </w:tc>
        <w:tc>
          <w:tcPr>
            <w:tcW w:type="dxa" w:w="16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
            </w:r>
          </w:p>
        </w:tc>
        <w:tc>
          <w:tcPr>
            <w:tcW w:type="dxa" w:w="1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b/>
                <w:bCs/>
                <w:color w:val="008490"/>
                <w:sz w:val="20"/>
                <w:szCs w:val="20"/>
              </w:rPr>
              <w:t xml:space="preserve">$23,731.25</w:t>
            </w:r>
          </w:p>
        </w:tc>
      </w:tr>
      <w:tr>
        <w:tc>
          <w:tcPr>
            <w:tcW w:type="dxa" w:w="51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21"/>
                <w:szCs w:val="21"/>
              </w:rPr>
              <w:t xml:space="preserve">Brand Refresh (BP to BA)</w:t>
            </w:r>
            <w:r>
              <w:rPr>
                <w:color w:val="5A5A5A"/>
                <w:sz w:val="17"/>
                <w:szCs w:val="17"/>
              </w:rPr>
              <w:t xml:space="preserve">  (rebrand, animated logo, icon set, teal sidebar)</w:t>
            </w:r>
          </w:p>
        </w:tc>
        <w:tc>
          <w:tcPr>
            <w:tcW w:type="dxa" w:w="16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5A5A5A"/>
                <w:sz w:val="18"/>
                <w:szCs w:val="18"/>
              </w:rPr>
              <w:t xml:space="preserve">Goodwill</w:t>
            </w:r>
          </w:p>
        </w:tc>
        <w:tc>
          <w:tcPr>
            <w:tcW w:type="dxa" w:w="1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$8,062.50</w:t>
            </w:r>
          </w:p>
        </w:tc>
      </w:tr>
      <w:tr>
        <w:tc>
          <w:tcPr>
            <w:tcW w:type="dxa" w:w="51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21"/>
                <w:szCs w:val="21"/>
              </w:rPr>
              <w:t xml:space="preserve">Certificate of Achievement template</w:t>
            </w:r>
            <w:r>
              <w:rPr>
                <w:color w:val="5A5A5A"/>
                <w:sz w:val="17"/>
                <w:szCs w:val="17"/>
              </w:rPr>
              <w:t xml:space="preserve">  (uploadable/replaceable, with name, date and certificate-number fields)</w:t>
            </w:r>
          </w:p>
        </w:tc>
        <w:tc>
          <w:tcPr>
            <w:tcW w:type="dxa" w:w="16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5A5A5A"/>
                <w:sz w:val="18"/>
                <w:szCs w:val="18"/>
              </w:rPr>
              <w:t xml:space="preserve">Goodwill</w:t>
            </w:r>
          </w:p>
        </w:tc>
        <w:tc>
          <w:tcPr>
            <w:tcW w:type="dxa" w:w="1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$5,162.50</w:t>
            </w:r>
          </w:p>
        </w:tc>
      </w:tr>
      <w:tr>
        <w:tc>
          <w:tcPr>
            <w:tcW w:type="dxa" w:w="51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21"/>
                <w:szCs w:val="21"/>
              </w:rPr>
              <w:t xml:space="preserve">Remove the Ctrl+K command menu</w:t>
            </w:r>
          </w:p>
        </w:tc>
        <w:tc>
          <w:tcPr>
            <w:tcW w:type="dxa" w:w="16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5A5A5A"/>
                <w:sz w:val="18"/>
                <w:szCs w:val="18"/>
              </w:rPr>
              <w:t xml:space="preserve">Goodwill</w:t>
            </w:r>
          </w:p>
        </w:tc>
        <w:tc>
          <w:tcPr>
            <w:tcW w:type="dxa" w:w="1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$625.00</w:t>
            </w:r>
          </w:p>
        </w:tc>
      </w:tr>
      <w:tr>
        <w:tc>
          <w:tcPr>
            <w:tcW w:type="dxa" w:w="51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21"/>
                <w:szCs w:val="21"/>
              </w:rPr>
              <w:t xml:space="preserve">Goodwill - genuinely at no charge</w:t>
            </w:r>
          </w:p>
        </w:tc>
        <w:tc>
          <w:tcPr>
            <w:tcW w:type="dxa" w:w="16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
            </w:r>
          </w:p>
        </w:tc>
        <w:tc>
          <w:tcPr>
            <w:tcW w:type="dxa" w:w="1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b/>
                <w:bCs/>
                <w:color w:val="1B7A3D"/>
                <w:sz w:val="20"/>
                <w:szCs w:val="20"/>
              </w:rPr>
              <w:t xml:space="preserve">$13,850.00</w:t>
            </w:r>
          </w:p>
        </w:tc>
      </w:tr>
    </w:tbl>
    <w:p>
      <w:pPr>
        <w:spacing w:after="60" w:before="60" w:line="264"/>
      </w:pPr>
      <w:r>
        <w:rPr>
          <w:i/>
          <w:iCs/>
          <w:color w:val="5A5A5A"/>
          <w:sz w:val="19"/>
          <w:szCs w:val="19"/>
        </w:rPr>
        <w:t xml:space="preserve">To be clear about the first group: it is not a gift. It is the remaining delivery under the original agreement - the work that earns the Phase-1 balance in Section 7. The second group is genuinely free.</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5.  Timeline</w:t>
      </w:r>
    </w:p>
    <w:p>
      <w:pPr>
        <w:pStyle w:val="ListParagraph"/>
        <w:numPr>
          <w:ilvl w:val="0"/>
          <w:numId w:val="2"/>
        </w:numPr>
        <w:spacing w:after="60" w:line="264"/>
      </w:pPr>
      <w:r>
        <w:rPr>
          <w:b/>
          <w:bCs/>
          <w:color w:val="1A1A1A"/>
          <w:sz w:val="21"/>
          <w:szCs w:val="21"/>
        </w:rPr>
        <w:t xml:space="preserve">M1 - Content Type: </w:t>
      </w:r>
      <w:r>
        <w:rPr>
          <w:color w:val="1A1A1A"/>
          <w:sz w:val="21"/>
          <w:szCs w:val="21"/>
        </w:rPr>
        <w:t xml:space="preserve">~1.5 weeks from commissioning - noting Thursday Island cannot start until it is operational.</w:t>
      </w:r>
    </w:p>
    <w:p>
      <w:pPr>
        <w:pStyle w:val="ListParagraph"/>
        <w:numPr>
          <w:ilvl w:val="0"/>
          <w:numId w:val="2"/>
        </w:numPr>
        <w:spacing w:after="60" w:line="264"/>
      </w:pPr>
      <w:r>
        <w:rPr>
          <w:b/>
          <w:bCs/>
          <w:color w:val="1A1A1A"/>
          <w:sz w:val="21"/>
          <w:szCs w:val="21"/>
        </w:rPr>
        <w:t xml:space="preserve">Order is yours: </w:t>
      </w:r>
      <w:r>
        <w:rPr>
          <w:color w:val="1A1A1A"/>
          <w:sz w:val="21"/>
          <w:szCs w:val="21"/>
        </w:rPr>
        <w:t xml:space="preserve">modules are priced independently - choose what matters most and the sequence. The one dependency: the Schedule Engine (M2) underpins the Dashboard (M3).</w:t>
      </w:r>
    </w:p>
    <w:p>
      <w:pPr>
        <w:spacing w:after="80" w:before="80" w:line="264"/>
      </w:pPr>
      <w:r>
        <w:rPr>
          <w:b/>
          <w:bCs/>
          <w:color w:val="1A1A1A"/>
          <w:sz w:val="20"/>
          <w:szCs w:val="20"/>
        </w:rPr>
        <w:t xml:space="preserve">Dependencies at a glance - what needs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26"/>
      </w:tblGrid>
      <w:tr>
        <w:trPr>
          <w:tblHeader/>
        </w:trPr>
        <w:tc>
          <w:tcPr>
            <w:tcW w:type="dxa" w:w="1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Module</w:t>
            </w:r>
          </w:p>
        </w:tc>
        <w:tc>
          <w:tcPr>
            <w:tcW w:type="dxa" w:w="42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Needs first</w:t>
            </w:r>
          </w:p>
        </w:tc>
        <w:tc>
          <w:tcPr>
            <w:tcW w:type="dxa" w:w="32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From your side</w:t>
            </w:r>
          </w:p>
        </w:tc>
      </w:tr>
      <w:tr>
        <w:tc>
          <w:tcPr>
            <w:tcW w:type="dxa" w:w="1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M1 - Content Type</w:t>
            </w:r>
          </w:p>
        </w:tc>
        <w:tc>
          <w:tcPr>
            <w:tcW w:type="dxa" w:w="4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None - fully standalone</w:t>
            </w:r>
          </w:p>
        </w:tc>
        <w:tc>
          <w:tcPr>
            <w:tcW w:type="dxa" w:w="3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Thursday Island lesson content</w:t>
            </w:r>
          </w:p>
        </w:tc>
      </w:tr>
      <w:tr>
        <w:tc>
          <w:tcPr>
            <w:tcW w:type="dxa" w:w="1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M2</w:t>
            </w:r>
          </w:p>
        </w:tc>
        <w:tc>
          <w:tcPr>
            <w:tcW w:type="dxa" w:w="4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None - the foundation</w:t>
            </w:r>
          </w:p>
        </w:tc>
        <w:tc>
          <w:tcPr>
            <w:tcW w:type="dxa" w:w="3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Confirmed ACT Term 3 dates</w:t>
            </w:r>
          </w:p>
        </w:tc>
      </w:tr>
      <w:tr>
        <w:tc>
          <w:tcPr>
            <w:tcW w:type="dxa" w:w="1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M3</w:t>
            </w:r>
          </w:p>
        </w:tc>
        <w:tc>
          <w:tcPr>
            <w:tcW w:type="dxa" w:w="4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M2 (engine + program-year model)</w:t>
            </w:r>
          </w:p>
        </w:tc>
        <w:tc>
          <w:tcPr>
            <w:tcW w:type="dxa" w:w="3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t>
            </w:r>
          </w:p>
        </w:tc>
      </w:tr>
      <w:tr>
        <w:tc>
          <w:tcPr>
            <w:tcW w:type="dxa" w:w="1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M4</w:t>
            </w:r>
          </w:p>
        </w:tc>
        <w:tc>
          <w:tcPr>
            <w:tcW w:type="dxa" w:w="4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None to start; Schedule filter + prior-year selection activate once M2 exists</w:t>
            </w:r>
          </w:p>
        </w:tc>
        <w:tc>
          <w:tcPr>
            <w:tcW w:type="dxa" w:w="3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t>
            </w:r>
          </w:p>
        </w:tc>
      </w:tr>
      <w:tr>
        <w:tc>
          <w:tcPr>
            <w:tcW w:type="dxa" w:w="1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M5</w:t>
            </w:r>
          </w:p>
        </w:tc>
        <w:tc>
          <w:tcPr>
            <w:tcW w:type="dxa" w:w="4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None</w:t>
            </w:r>
          </w:p>
        </w:tc>
        <w:tc>
          <w:tcPr>
            <w:tcW w:type="dxa" w:w="3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t>
            </w:r>
          </w:p>
        </w:tc>
      </w:tr>
      <w:tr>
        <w:tc>
          <w:tcPr>
            <w:tcW w:type="dxa" w:w="1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M6</w:t>
            </w:r>
          </w:p>
        </w:tc>
        <w:tc>
          <w:tcPr>
            <w:tcW w:type="dxa" w:w="4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None</w:t>
            </w:r>
          </w:p>
        </w:tc>
        <w:tc>
          <w:tcPr>
            <w:tcW w:type="dxa" w:w="3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25 April weighting confirmed as final</w:t>
            </w:r>
          </w:p>
        </w:tc>
      </w:tr>
      <w:tr>
        <w:tc>
          <w:tcPr>
            <w:tcW w:type="dxa" w:w="1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M7</w:t>
            </w:r>
          </w:p>
        </w:tc>
        <w:tc>
          <w:tcPr>
            <w:tcW w:type="dxa" w:w="4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None to start; year selector + calendar-year reset use M2</w:t>
            </w:r>
          </w:p>
        </w:tc>
        <w:tc>
          <w:tcPr>
            <w:tcW w:type="dxa" w:w="3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t>
            </w:r>
          </w:p>
        </w:tc>
      </w:tr>
      <w:tr>
        <w:tc>
          <w:tcPr>
            <w:tcW w:type="dxa" w:w="1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M8</w:t>
            </w:r>
          </w:p>
        </w:tc>
        <w:tc>
          <w:tcPr>
            <w:tcW w:type="dxa" w:w="4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None</w:t>
            </w:r>
          </w:p>
        </w:tc>
        <w:tc>
          <w:tcPr>
            <w:tcW w:type="dxa" w:w="3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The three Getting Started videos</w:t>
            </w:r>
          </w:p>
        </w:tc>
      </w:tr>
    </w:tbl>
    <w:p>
      <w:pPr>
        <w:pStyle w:val="ListParagraph"/>
        <w:numPr>
          <w:ilvl w:val="0"/>
          <w:numId w:val="2"/>
        </w:numPr>
        <w:spacing w:after="60" w:line="264"/>
      </w:pPr>
      <w:r>
        <w:rPr>
          <w:b/>
          <w:bCs/>
          <w:color w:val="1A1A1A"/>
          <w:sz w:val="21"/>
          <w:szCs w:val="21"/>
        </w:rPr>
        <w:t xml:space="preserve">Main program: </w:t>
      </w:r>
      <w:r>
        <w:rPr>
          <w:color w:val="1A1A1A"/>
          <w:sz w:val="21"/>
          <w:szCs w:val="21"/>
        </w:rPr>
        <w:t xml:space="preserve">8–9 weeks of intensive, extended-hours delivery. I will push to bring this in ahead of schedule - targeting ~6 weeks - as a best-efforts commitment to your momentum, at no extra cost.</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6.  Payment</w:t>
      </w:r>
    </w:p>
    <w:p>
      <w:pPr>
        <w:pStyle w:val="ListParagraph"/>
        <w:numPr>
          <w:ilvl w:val="0"/>
          <w:numId w:val="2"/>
        </w:numPr>
        <w:spacing w:after="60" w:line="264"/>
      </w:pPr>
      <w:r>
        <w:rPr>
          <w:color w:val="1A1A1A"/>
          <w:sz w:val="21"/>
          <w:szCs w:val="21"/>
        </w:rPr>
        <w:t xml:space="preserve">40% deposit on commissioning; balance by milestone payments through delivery.</w:t>
      </w:r>
    </w:p>
    <w:p>
      <w:pPr>
        <w:pStyle w:val="ListParagraph"/>
        <w:numPr>
          <w:ilvl w:val="0"/>
          <w:numId w:val="2"/>
        </w:numPr>
        <w:spacing w:after="60" w:line="264"/>
      </w:pPr>
      <w:r>
        <w:rPr>
          <w:color w:val="1A1A1A"/>
          <w:sz w:val="21"/>
          <w:szCs w:val="21"/>
        </w:rPr>
        <w:t xml:space="preserve">Deposit invoices raised on commissioning.</w:t>
      </w:r>
    </w:p>
    <w:p>
      <w:pPr>
        <w:pStyle w:val="ListParagraph"/>
        <w:numPr>
          <w:ilvl w:val="0"/>
          <w:numId w:val="2"/>
        </w:numPr>
        <w:spacing w:after="60" w:line="264"/>
      </w:pPr>
      <w:r>
        <w:rPr>
          <w:color w:val="1A1A1A"/>
          <w:sz w:val="21"/>
          <w:szCs w:val="21"/>
        </w:rPr>
        <w:t xml:space="preserve">Invoiced by Intradark Pty Ltd, +GST; deployment/handover on payment.</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7.  Engagement structure &amp; the Phase-1 account</w:t>
      </w:r>
    </w:p>
    <w:p>
      <w:pPr>
        <w:pStyle w:val="Heading2"/>
        <w:spacing w:after="80" w:before="200"/>
      </w:pPr>
      <w:r>
        <w:rPr>
          <w:rFonts w:ascii="Arial" w:cs="Arial" w:eastAsia="Arial" w:hAnsi="Arial"/>
          <w:b/>
          <w:bCs/>
          <w:color w:val="1A1A1A"/>
          <w:sz w:val="22"/>
          <w:szCs w:val="22"/>
        </w:rPr>
        <w:t xml:space="preserve">(a)  Moving to a full contract basis</w:t>
      </w:r>
    </w:p>
    <w:p>
      <w:pPr>
        <w:spacing w:after="120" w:before="0" w:line="264"/>
      </w:pPr>
      <w:r>
        <w:rPr>
          <w:color w:val="1A1A1A"/>
          <w:sz w:val="21"/>
          <w:szCs w:val="21"/>
        </w:rPr>
        <w:t xml:space="preserve">The salary arrangement served its purpose while Phase 1 was being built, but it blurs two things that should be clean: employment, and a fixed-price development contract. I would like to end it and run the whole engagement through </w:t>
      </w:r>
      <w:r>
        <w:rPr>
          <w:b/>
          <w:bCs/>
          <w:color w:val="1A1A1A"/>
          <w:sz w:val="21"/>
          <w:szCs w:val="21"/>
        </w:rPr>
        <w:t xml:space="preserve">Intradark Pty Ltd on invoices</w:t>
      </w:r>
      <w:r>
        <w:rPr>
          <w:color w:val="1A1A1A"/>
          <w:sz w:val="21"/>
          <w:szCs w:val="21"/>
        </w:rPr>
        <w:t xml:space="preserve"> - deposits up front, milestone / module payments on delivery, all +GST - starting with this proposal. Practically: we agree a cessation date, payroll reconciles final pay, superannuation and leave, and the unconsumed portion of the salary component converts to contract invoicing.</w:t>
      </w:r>
    </w:p>
    <w:p>
      <w:pPr>
        <w:spacing w:after="120" w:before="0" w:line="264"/>
      </w:pPr>
      <w:r>
        <w:rPr>
          <w:color w:val="1A1A1A"/>
          <w:sz w:val="21"/>
          <w:szCs w:val="21"/>
        </w:rPr>
        <w:t xml:space="preserve">This also speaks to the key-personnel point you have raised. Intradark has grown: I have brought on multiple new hires, including a developer in training who you will meet as I onboard him to the Bullyproof project. The engagement structure should reflect what it now is - a company delivering with a team, not a dependency on one individual.</w:t>
      </w:r>
    </w:p>
    <w:p>
      <w:pPr>
        <w:pStyle w:val="Heading2"/>
        <w:spacing w:after="80" w:before="200"/>
      </w:pPr>
      <w:r>
        <w:rPr>
          <w:rFonts w:ascii="Arial" w:cs="Arial" w:eastAsia="Arial" w:hAnsi="Arial"/>
          <w:b/>
          <w:bCs/>
          <w:color w:val="1A1A1A"/>
          <w:sz w:val="22"/>
          <w:szCs w:val="22"/>
        </w:rPr>
        <w:t xml:space="preserve">(b)  Phase-1 account position (as at 10 June 2026)</w:t>
      </w:r>
    </w:p>
    <w:p>
      <w:pPr>
        <w:spacing w:after="80" w:before="0" w:line="264"/>
      </w:pPr>
      <w:r>
        <w:rPr>
          <w:color w:val="1A1A1A"/>
          <w:sz w:val="21"/>
          <w:szCs w:val="21"/>
        </w:rPr>
        <w:t xml:space="preserve">Phase 1 was engaged at $250,000 in two parts: the $150,000 + GST fixed fee under the signed Variation, and a $100,000 salary component (via Bullyproof Australia payroll).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926"/>
      </w:tblGrid>
      <w:tr>
        <w:trPr>
          <w:tblHeader/>
        </w:trPr>
        <w:tc>
          <w:tcPr>
            <w:tcW w:type="dxa" w:w="35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2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Amount</w:t>
            </w:r>
          </w:p>
        </w:tc>
        <w:tc>
          <w:tcPr>
            <w:tcW w:type="dxa" w:w="29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Basis</w:t>
            </w:r>
          </w:p>
        </w:tc>
      </w:tr>
      <w:tr>
        <w:tc>
          <w:tcPr>
            <w:tcW w:type="dxa" w:w="3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21"/>
                <w:szCs w:val="21"/>
              </w:rPr>
              <w:t xml:space="preserve">Fixed fee (Variation cl 4)</w:t>
            </w:r>
          </w:p>
        </w:tc>
        <w:tc>
          <w:tcPr>
            <w:tcW w:type="dxa" w:w="2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9"/>
                <w:szCs w:val="19"/>
              </w:rPr>
              <w:t xml:space="preserve">$150,000 + GST</w:t>
            </w:r>
          </w:p>
        </w:tc>
        <w:tc>
          <w:tcPr>
            <w:tcW w:type="dxa" w:w="29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5A5A5A"/>
                <w:sz w:val="19"/>
                <w:szCs w:val="19"/>
              </w:rPr>
              <w:t xml:space="preserve">Signed Variation, 23 April 2026</w:t>
            </w:r>
          </w:p>
        </w:tc>
      </w:tr>
      <w:tr>
        <w:tc>
          <w:tcPr>
            <w:tcW w:type="dxa" w:w="3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21"/>
                <w:szCs w:val="21"/>
              </w:rPr>
              <w:t xml:space="preserve">   Received - deposit on signing</w:t>
            </w:r>
          </w:p>
        </w:tc>
        <w:tc>
          <w:tcPr>
            <w:tcW w:type="dxa" w:w="2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9"/>
                <w:szCs w:val="19"/>
              </w:rPr>
              <w:t xml:space="preserve">$50,000 + GST  ($55,000)</w:t>
            </w:r>
          </w:p>
        </w:tc>
        <w:tc>
          <w:tcPr>
            <w:tcW w:type="dxa" w:w="29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B7A3D"/>
                <w:sz w:val="19"/>
                <w:szCs w:val="19"/>
              </w:rPr>
              <w:t xml:space="preserve">cl 4(a) - paid</w:t>
            </w:r>
          </w:p>
        </w:tc>
      </w:tr>
      <w:tr>
        <w:tc>
          <w:tcPr>
            <w:tcW w:type="dxa" w:w="3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21"/>
                <w:szCs w:val="21"/>
              </w:rPr>
              <w:t xml:space="preserve">   Balance - on completion &amp; handover</w:t>
            </w:r>
          </w:p>
        </w:tc>
        <w:tc>
          <w:tcPr>
            <w:tcW w:type="dxa" w:w="2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9"/>
                <w:szCs w:val="19"/>
              </w:rPr>
              <w:t xml:space="preserve">$100,000 + GST</w:t>
            </w:r>
          </w:p>
        </w:tc>
        <w:tc>
          <w:tcPr>
            <w:tcW w:type="dxa" w:w="29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5A5A5A"/>
                <w:sz w:val="19"/>
                <w:szCs w:val="19"/>
              </w:rPr>
              <w:t xml:space="preserve">cl 4(b) - falls due at Final Acceptance</w:t>
            </w:r>
          </w:p>
        </w:tc>
      </w:tr>
      <w:tr>
        <w:tc>
          <w:tcPr>
            <w:tcW w:type="dxa" w:w="3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21"/>
                <w:szCs w:val="21"/>
              </w:rPr>
              <w:t xml:space="preserve">Salary component</w:t>
            </w:r>
          </w:p>
        </w:tc>
        <w:tc>
          <w:tcPr>
            <w:tcW w:type="dxa" w:w="2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9"/>
                <w:szCs w:val="19"/>
              </w:rPr>
              <w:t xml:space="preserve">$100,000</w:t>
            </w:r>
          </w:p>
        </w:tc>
        <w:tc>
          <w:tcPr>
            <w:tcW w:type="dxa" w:w="29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5A5A5A"/>
                <w:sz w:val="19"/>
                <w:szCs w:val="19"/>
              </w:rPr>
              <w:t xml:space="preserve">Bullyproof Australia payroll</w:t>
            </w:r>
          </w:p>
        </w:tc>
      </w:tr>
      <w:tr>
        <w:tc>
          <w:tcPr>
            <w:tcW w:type="dxa" w:w="3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21"/>
                <w:szCs w:val="21"/>
              </w:rPr>
              <w:t xml:space="preserve">   Drawn to 10 June 2026</w:t>
            </w:r>
          </w:p>
        </w:tc>
        <w:tc>
          <w:tcPr>
            <w:tcW w:type="dxa" w:w="2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9"/>
                <w:szCs w:val="19"/>
              </w:rPr>
              <w:t xml:space="preserve">$72,348.50 gross</w:t>
            </w:r>
          </w:p>
        </w:tc>
        <w:tc>
          <w:tcPr>
            <w:tcW w:type="dxa" w:w="29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5A5A5A"/>
                <w:sz w:val="19"/>
                <w:szCs w:val="19"/>
              </w:rPr>
              <w:t xml:space="preserve">per payslip; super + accrued leave also count toward the component, per your advice</w:t>
            </w:r>
          </w:p>
        </w:tc>
      </w:tr>
      <w:tr>
        <w:tc>
          <w:tcPr>
            <w:tcW w:type="dxa" w:w="3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21"/>
                <w:szCs w:val="21"/>
              </w:rPr>
              <w:t xml:space="preserve">   Remainder - converts at cessation</w:t>
            </w:r>
          </w:p>
        </w:tc>
        <w:tc>
          <w:tcPr>
            <w:tcW w:type="dxa" w:w="2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19"/>
                <w:szCs w:val="19"/>
              </w:rPr>
              <w:t xml:space="preserve">$100,000 − gross drawn − super/leave per payroll − pay cycles to cessation</w:t>
            </w:r>
          </w:p>
        </w:tc>
        <w:tc>
          <w:tcPr>
            <w:tcW w:type="dxa" w:w="29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5A5A5A"/>
                <w:sz w:val="19"/>
                <w:szCs w:val="19"/>
              </w:rPr>
              <w:t xml:space="preserve">invoiced by Intradark at cessation</w:t>
            </w:r>
          </w:p>
        </w:tc>
      </w:tr>
    </w:tbl>
    <w:p>
      <w:pPr>
        <w:pStyle w:val="Heading2"/>
        <w:spacing w:after="80" w:before="200"/>
      </w:pPr>
      <w:r>
        <w:rPr>
          <w:rFonts w:ascii="Arial" w:cs="Arial" w:eastAsia="Arial" w:hAnsi="Arial"/>
          <w:b/>
          <w:bCs/>
          <w:color w:val="1A1A1A"/>
          <w:sz w:val="22"/>
          <w:szCs w:val="22"/>
        </w:rPr>
        <w:t xml:space="preserve">(c)  The completion path</w:t>
      </w:r>
    </w:p>
    <w:p>
      <w:pPr>
        <w:spacing w:after="60" w:before="0" w:line="264"/>
      </w:pPr>
      <w:r>
        <w:rPr>
          <w:color w:val="1A1A1A"/>
          <w:sz w:val="21"/>
          <w:szCs w:val="21"/>
        </w:rPr>
        <w:t xml:space="preserve">I complete all remaining in-scope work and every genuine defect fix (Section 4) as part of delivering Phase 1 - the work the outstanding balance already covers - through to Final Acceptance and full handover under cl 4(b), at which point that balance falls due as agreed. The new work in this proposal sits entirely on top, billed only as commissioned.</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8.  The numbers, together</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150"/>
        <w:gridCol w:w="1650"/>
        <w:gridCol w:w="1226"/>
      </w:tblGrid>
      <w:tr>
        <w:trPr>
          <w:tblHeader/>
        </w:trPr>
        <w:tc>
          <w:tcPr>
            <w:tcW w:type="dxa" w:w="51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Scenario</w:t>
            </w:r>
          </w:p>
        </w:tc>
        <w:tc>
          <w:tcPr>
            <w:tcW w:type="dxa" w:w="16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ex-GST</w:t>
            </w:r>
          </w:p>
        </w:tc>
        <w:tc>
          <w:tcPr>
            <w:tcW w:type="dxa" w:w="12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inc-GST</w:t>
            </w:r>
          </w:p>
        </w:tc>
      </w:tr>
      <w:tr>
        <w:tc>
          <w:tcPr>
            <w:tcW w:type="dxa" w:w="51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21"/>
                <w:szCs w:val="21"/>
              </w:rPr>
              <w:t xml:space="preserve">All eight modules at listed prices</w:t>
            </w:r>
          </w:p>
        </w:tc>
        <w:tc>
          <w:tcPr>
            <w:tcW w:type="dxa" w:w="16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$171,350.00</w:t>
            </w:r>
          </w:p>
        </w:tc>
        <w:tc>
          <w:tcPr>
            <w:tcW w:type="dxa" w:w="1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$188,485.00</w:t>
            </w:r>
          </w:p>
        </w:tc>
      </w:tr>
      <w:tr>
        <w:tc>
          <w:tcPr>
            <w:tcW w:type="dxa" w:w="51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21"/>
                <w:szCs w:val="21"/>
              </w:rPr>
              <w:t xml:space="preserve">Everything together - 20% commitment discount</w:t>
            </w:r>
          </w:p>
        </w:tc>
        <w:tc>
          <w:tcPr>
            <w:tcW w:type="dxa" w:w="165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b/>
                <w:bCs/>
                <w:color w:val="008490"/>
                <w:sz w:val="20"/>
                <w:szCs w:val="20"/>
              </w:rPr>
              <w:t xml:space="preserve">$137,080.00</w:t>
            </w:r>
          </w:p>
        </w:tc>
        <w:tc>
          <w:tcPr>
            <w:tcW w:type="dxa" w:w="12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b/>
                <w:bCs/>
                <w:color w:val="008490"/>
                <w:sz w:val="20"/>
                <w:szCs w:val="20"/>
              </w:rPr>
              <w:t xml:space="preserve">$150,788.00</w:t>
            </w:r>
          </w:p>
        </w:tc>
      </w:tr>
      <w:tr>
        <w:tc>
          <w:tcPr>
            <w:tcW w:type="dxa" w:w="51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21"/>
                <w:szCs w:val="21"/>
              </w:rPr>
              <w:t xml:space="preserve">Optional add-on: multi-class selection guidance</w:t>
            </w:r>
          </w:p>
        </w:tc>
        <w:tc>
          <w:tcPr>
            <w:tcW w:type="dxa" w:w="165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$1,900.00</w:t>
            </w:r>
          </w:p>
        </w:tc>
        <w:tc>
          <w:tcPr>
            <w:tcW w:type="dxa" w:w="12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$2,090.00</w:t>
            </w:r>
          </w:p>
        </w:tc>
      </w:tr>
    </w:tbl>
    <w:p>
      <w:pPr>
        <w:spacing w:after="60" w:before="60" w:line="264"/>
      </w:pPr>
      <w:r>
        <w:rPr>
          <w:i/>
          <w:iCs/>
          <w:color w:val="5A5A5A"/>
          <w:sz w:val="19"/>
          <w:szCs w:val="19"/>
        </w:rPr>
        <w:t xml:space="preserve">These figures cover the new work only. The Phase-1 completion work in Section 4 ($23,731.25) is covered by the balance in Section 7 - not billed here, and not a gift. A further $13,850.00 of goodwill work is included at no charge.</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9.  Next steps</w:t>
      </w:r>
    </w:p>
    <w:p>
      <w:pPr>
        <w:pStyle w:val="ListParagraph"/>
        <w:numPr>
          <w:ilvl w:val="0"/>
          <w:numId w:val="2"/>
        </w:numPr>
        <w:spacing w:after="60" w:line="264"/>
      </w:pPr>
      <w:r>
        <w:rPr>
          <w:color w:val="1A1A1A"/>
          <w:sz w:val="21"/>
          <w:szCs w:val="21"/>
        </w:rPr>
        <w:t xml:space="preserve">Tell me which modules you want (or the whole program for the 20% bundle), and I raise the deposit invoices.</w:t>
      </w:r>
    </w:p>
    <w:p>
      <w:pPr>
        <w:pStyle w:val="ListParagraph"/>
        <w:numPr>
          <w:ilvl w:val="0"/>
          <w:numId w:val="2"/>
        </w:numPr>
        <w:spacing w:after="60" w:line="264"/>
      </w:pPr>
      <w:r>
        <w:rPr>
          <w:color w:val="1A1A1A"/>
          <w:sz w:val="21"/>
          <w:szCs w:val="21"/>
        </w:rPr>
        <w:t xml:space="preserve">The Content Type can start immediately on deposit - Thursday Island cannot begin until it is operational.</w:t>
      </w:r>
    </w:p>
    <w:p>
      <w:pPr>
        <w:pStyle w:val="ListParagraph"/>
        <w:numPr>
          <w:ilvl w:val="0"/>
          <w:numId w:val="2"/>
        </w:numPr>
        <w:spacing w:after="60" w:line="264"/>
      </w:pPr>
      <w:r>
        <w:rPr>
          <w:color w:val="1A1A1A"/>
          <w:sz w:val="21"/>
          <w:szCs w:val="21"/>
        </w:rPr>
        <w:t xml:space="preserve">Confirm a cessation date for the salary arrangement (Section 8) so payroll can reconcile super and leave, and I can issue the conversion invoice.</w:t>
      </w:r>
    </w:p>
    <w:p>
      <w:pPr>
        <w:pStyle w:val="ListParagraph"/>
        <w:numPr>
          <w:ilvl w:val="0"/>
          <w:numId w:val="2"/>
        </w:numPr>
        <w:spacing w:after="60" w:line="264"/>
      </w:pPr>
      <w:r>
        <w:rPr>
          <w:color w:val="1A1A1A"/>
          <w:sz w:val="21"/>
          <w:szCs w:val="21"/>
        </w:rPr>
        <w:t xml:space="preserve">Happy to walk through any module on a call.</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Appendix - rate evidence &amp; market comparison</w:t>
      </w:r>
    </w:p>
    <w:p>
      <w:pPr>
        <w:spacing w:after="120" w:before="0" w:line="264"/>
      </w:pPr>
      <w:r>
        <w:rPr>
          <w:color w:val="1A1A1A"/>
          <w:sz w:val="21"/>
          <w:szCs w:val="21"/>
        </w:rPr>
        <w:t xml:space="preserve">Published Australian contract rates, verified live on 2 July 2026 - every source below is a public page you can open. Because one person leads every discipline on this engagement, the honest comparator is the </w:t>
      </w:r>
      <w:r>
        <w:rPr>
          <w:b/>
          <w:bCs/>
          <w:color w:val="1A1A1A"/>
          <w:sz w:val="21"/>
          <w:szCs w:val="21"/>
        </w:rPr>
        <w:t xml:space="preserve">lead / principal</w:t>
      </w:r>
      <w:r>
        <w:rPr>
          <w:color w:val="1A1A1A"/>
          <w:sz w:val="21"/>
          <w:szCs w:val="21"/>
        </w:rPr>
        <w:t xml:space="preserve"> rate for each discipline - yet this proposal is priced </w:t>
      </w:r>
      <w:r>
        <w:rPr>
          <w:b/>
          <w:bCs/>
          <w:color w:val="1A1A1A"/>
          <w:sz w:val="21"/>
          <w:szCs w:val="21"/>
        </w:rPr>
        <w:t xml:space="preserve">below the senior floor</w:t>
      </w:r>
      <w:r>
        <w:rPr>
          <w:color w:val="1A1A1A"/>
          <w:sz w:val="21"/>
          <w:szCs w:val="21"/>
        </w:rPr>
        <w:t xml:space="preserve">, two tiers under the seat actually being filled. (Several cited figures are “rate to the contractor” including superannuation on an 8-hour day, per the source pages - which makes this comparison conservative.)</w:t>
      </w:r>
    </w:p>
    <w:p>
      <w:pPr>
        <w:pStyle w:val="Heading2"/>
        <w:spacing w:after="80" w:before="200"/>
      </w:pPr>
      <w:r>
        <w:rPr>
          <w:rFonts w:ascii="Arial" w:cs="Arial" w:eastAsia="Arial" w:hAnsi="Arial"/>
          <w:b/>
          <w:bCs/>
          <w:color w:val="1A1A1A"/>
          <w:sz w:val="22"/>
          <w:szCs w:val="22"/>
        </w:rPr>
        <w:t xml:space="preserve">Product Mgmt / BA   -   this proposal: $93.75/hr  ($750/day)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800"/>
        <w:gridCol w:w="1826"/>
      </w:tblGrid>
      <w:tr>
        <w:trPr>
          <w:tblHeader/>
        </w:trPr>
        <w:tc>
          <w:tcPr>
            <w:tcW w:type="dxa" w:w="25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Source</w:t>
            </w:r>
          </w:p>
        </w:tc>
        <w:tc>
          <w:tcPr>
            <w:tcW w:type="dxa" w:w="2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Role / level</w:t>
            </w:r>
          </w:p>
        </w:tc>
        <w:tc>
          <w:tcPr>
            <w:tcW w:type="dxa" w:w="18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Published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Link</w:t>
            </w:r>
          </w:p>
        </w:tc>
      </w:tr>
      <w:tr>
        <w:tc>
          <w:tcPr>
            <w:tcW w:type="dxa" w:w="2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Morgan McKinley 2026</w:t>
            </w:r>
          </w:p>
        </w:tc>
        <w:tc>
          <w:tcPr>
            <w:tcW w:type="dxa" w:w="2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Lead Business Analyst</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8"/>
                <w:szCs w:val="18"/>
              </w:rPr>
              <w:t xml:space="preserve">$1,050 – 1,250/day</w:t>
            </w:r>
          </w:p>
        </w:tc>
        <w:tc>
          <w:tcPr>
            <w:tcW w:type="dxa" w:w="1826"/>
            <w:tcBorders>
              <w:top w:val="single" w:color="C9C9C9" w:sz="1"/>
              <w:left w:val="single" w:color="C9C9C9" w:sz="1"/>
              <w:bottom w:val="single" w:color="C9C9C9" w:sz="1"/>
              <w:right w:val="single" w:color="C9C9C9" w:sz="1"/>
            </w:tcBorders>
            <w:tcMar>
              <w:top w:type="dxa" w:w="44"/>
              <w:left w:type="dxa" w:w="100"/>
              <w:bottom w:type="dxa" w:w="44"/>
              <w:right w:type="dxa" w:w="100"/>
            </w:tcMar>
          </w:tcPr>
          <w:p>
            <w:hyperlink w:history="1" r:id="rIdf6gnwopptoq7e-yjgxmkj">
              <w:r>
                <w:rPr>
                  <w:rStyle w:val="Hyperlink"/>
                  <w:sz w:val="17"/>
                  <w:szCs w:val="17"/>
                </w:rPr>
                <w:t xml:space="preserve">morganmckinley.com/au/salary-guide/projects-strategy-change/contract-salaries</w:t>
              </w:r>
            </w:hyperlink>
          </w:p>
        </w:tc>
      </w:tr>
      <w:tr>
        <w:tc>
          <w:tcPr>
            <w:tcW w:type="dxa" w:w="2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Clicks IT</w:t>
            </w:r>
          </w:p>
        </w:tc>
        <w:tc>
          <w:tcPr>
            <w:tcW w:type="dxa" w:w="29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Delivery Lead</w:t>
            </w:r>
          </w:p>
        </w:tc>
        <w:tc>
          <w:tcPr>
            <w:tcW w:type="dxa" w:w="18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18"/>
                <w:szCs w:val="18"/>
              </w:rPr>
              <w:t xml:space="preserve">$1,140 – 1,350/day</w:t>
            </w:r>
          </w:p>
        </w:tc>
        <w:tc>
          <w:tcPr>
            <w:tcW w:type="dxa" w:w="1826"/>
            <w:tcBorders>
              <w:top w:val="single" w:color="C9C9C9" w:sz="1"/>
              <w:left w:val="single" w:color="C9C9C9" w:sz="1"/>
              <w:bottom w:val="single" w:color="C9C9C9" w:sz="1"/>
              <w:right w:val="single" w:color="C9C9C9" w:sz="1"/>
            </w:tcBorders>
            <w:shd w:fill="EEF6F7" w:val="clear"/>
            <w:tcMar>
              <w:top w:type="dxa" w:w="44"/>
              <w:left w:type="dxa" w:w="100"/>
              <w:bottom w:type="dxa" w:w="44"/>
              <w:right w:type="dxa" w:w="100"/>
            </w:tcMar>
          </w:tcPr>
          <w:p>
            <w:hyperlink w:history="1" r:id="rIdzddo4jjzc03ydpuakjtjb">
              <w:r>
                <w:rPr>
                  <w:rStyle w:val="Hyperlink"/>
                  <w:sz w:val="17"/>
                  <w:szCs w:val="17"/>
                </w:rPr>
                <w:t xml:space="preserve">clicks.com.au/job-salary/delivery-lead</w:t>
              </w:r>
            </w:hyperlink>
          </w:p>
        </w:tc>
      </w:tr>
      <w:tr>
        <w:tc>
          <w:tcPr>
            <w:tcW w:type="dxa" w:w="2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Clicks IT</w:t>
            </w:r>
          </w:p>
        </w:tc>
        <w:tc>
          <w:tcPr>
            <w:tcW w:type="dxa" w:w="2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Product Manager (senior - no lead tier published)</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8"/>
                <w:szCs w:val="18"/>
              </w:rPr>
              <w:t xml:space="preserve">$985/day</w:t>
            </w:r>
          </w:p>
        </w:tc>
        <w:tc>
          <w:tcPr>
            <w:tcW w:type="dxa" w:w="1826"/>
            <w:tcBorders>
              <w:top w:val="single" w:color="C9C9C9" w:sz="1"/>
              <w:left w:val="single" w:color="C9C9C9" w:sz="1"/>
              <w:bottom w:val="single" w:color="C9C9C9" w:sz="1"/>
              <w:right w:val="single" w:color="C9C9C9" w:sz="1"/>
            </w:tcBorders>
            <w:tcMar>
              <w:top w:type="dxa" w:w="44"/>
              <w:left w:type="dxa" w:w="100"/>
              <w:bottom w:type="dxa" w:w="44"/>
              <w:right w:type="dxa" w:w="100"/>
            </w:tcMar>
          </w:tcPr>
          <w:p>
            <w:hyperlink w:history="1" r:id="rIdfervyzabj_a60wniandyu">
              <w:r>
                <w:rPr>
                  <w:rStyle w:val="Hyperlink"/>
                  <w:sz w:val="17"/>
                  <w:szCs w:val="17"/>
                </w:rPr>
                <w:t xml:space="preserve">clicks.com.au/job-salary/product-manager</w:t>
              </w:r>
            </w:hyperlink>
          </w:p>
        </w:tc>
      </w:tr>
    </w:tbl>
    <w:p>
      <w:pPr>
        <w:spacing w:after="100"/>
      </w:pPr>
    </w:p>
    <w:p>
      <w:pPr>
        <w:pStyle w:val="Heading2"/>
        <w:spacing w:after="80" w:before="200"/>
      </w:pPr>
      <w:r>
        <w:rPr>
          <w:rFonts w:ascii="Arial" w:cs="Arial" w:eastAsia="Arial" w:hAnsi="Arial"/>
          <w:b/>
          <w:bCs/>
          <w:color w:val="1A1A1A"/>
          <w:sz w:val="22"/>
          <w:szCs w:val="22"/>
        </w:rPr>
        <w:t xml:space="preserve">UX / Design   -   this proposal: $100.00/hr  ($800/day)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800"/>
        <w:gridCol w:w="1826"/>
      </w:tblGrid>
      <w:tr>
        <w:trPr>
          <w:tblHeader/>
        </w:trPr>
        <w:tc>
          <w:tcPr>
            <w:tcW w:type="dxa" w:w="25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Source</w:t>
            </w:r>
          </w:p>
        </w:tc>
        <w:tc>
          <w:tcPr>
            <w:tcW w:type="dxa" w:w="2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Role / level</w:t>
            </w:r>
          </w:p>
        </w:tc>
        <w:tc>
          <w:tcPr>
            <w:tcW w:type="dxa" w:w="18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Published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Link</w:t>
            </w:r>
          </w:p>
        </w:tc>
      </w:tr>
      <w:tr>
        <w:tc>
          <w:tcPr>
            <w:tcW w:type="dxa" w:w="2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Clicks IT</w:t>
            </w:r>
          </w:p>
        </w:tc>
        <w:tc>
          <w:tcPr>
            <w:tcW w:type="dxa" w:w="2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UX/UI Architect</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8"/>
                <w:szCs w:val="18"/>
              </w:rPr>
              <w:t xml:space="preserve">$1,040 – 1,245/day</w:t>
            </w:r>
          </w:p>
        </w:tc>
        <w:tc>
          <w:tcPr>
            <w:tcW w:type="dxa" w:w="1826"/>
            <w:tcBorders>
              <w:top w:val="single" w:color="C9C9C9" w:sz="1"/>
              <w:left w:val="single" w:color="C9C9C9" w:sz="1"/>
              <w:bottom w:val="single" w:color="C9C9C9" w:sz="1"/>
              <w:right w:val="single" w:color="C9C9C9" w:sz="1"/>
            </w:tcBorders>
            <w:tcMar>
              <w:top w:type="dxa" w:w="44"/>
              <w:left w:type="dxa" w:w="100"/>
              <w:bottom w:type="dxa" w:w="44"/>
              <w:right w:type="dxa" w:w="100"/>
            </w:tcMar>
          </w:tcPr>
          <w:p>
            <w:hyperlink w:history="1" r:id="rIdvvrsb00rjqzshrooz_jgw">
              <w:r>
                <w:rPr>
                  <w:rStyle w:val="Hyperlink"/>
                  <w:sz w:val="17"/>
                  <w:szCs w:val="17"/>
                </w:rPr>
                <w:t xml:space="preserve">clicks.com.au/job-salary/ux-ui-architect</w:t>
              </w:r>
            </w:hyperlink>
          </w:p>
        </w:tc>
      </w:tr>
      <w:tr>
        <w:tc>
          <w:tcPr>
            <w:tcW w:type="dxa" w:w="2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Morgan McKinley 2026</w:t>
            </w:r>
          </w:p>
        </w:tc>
        <w:tc>
          <w:tcPr>
            <w:tcW w:type="dxa" w:w="29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Product Designer (high of range)</w:t>
            </w:r>
          </w:p>
        </w:tc>
        <w:tc>
          <w:tcPr>
            <w:tcW w:type="dxa" w:w="18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18"/>
                <w:szCs w:val="18"/>
              </w:rPr>
              <w:t xml:space="preserve">$1,100/day</w:t>
            </w:r>
          </w:p>
        </w:tc>
        <w:tc>
          <w:tcPr>
            <w:tcW w:type="dxa" w:w="1826"/>
            <w:tcBorders>
              <w:top w:val="single" w:color="C9C9C9" w:sz="1"/>
              <w:left w:val="single" w:color="C9C9C9" w:sz="1"/>
              <w:bottom w:val="single" w:color="C9C9C9" w:sz="1"/>
              <w:right w:val="single" w:color="C9C9C9" w:sz="1"/>
            </w:tcBorders>
            <w:shd w:fill="EEF6F7" w:val="clear"/>
            <w:tcMar>
              <w:top w:type="dxa" w:w="44"/>
              <w:left w:type="dxa" w:w="100"/>
              <w:bottom w:type="dxa" w:w="44"/>
              <w:right w:type="dxa" w:w="100"/>
            </w:tcMar>
          </w:tcPr>
          <w:p>
            <w:hyperlink w:history="1" r:id="rIdf4rqpvjs18nfhem9jnncx">
              <w:r>
                <w:rPr>
                  <w:rStyle w:val="Hyperlink"/>
                  <w:sz w:val="17"/>
                  <w:szCs w:val="17"/>
                </w:rPr>
                <w:t xml:space="preserve">morganmckinley.com/au/salary-guide/technology/contract-salaries</w:t>
              </w:r>
            </w:hyperlink>
          </w:p>
        </w:tc>
      </w:tr>
      <w:tr>
        <w:tc>
          <w:tcPr>
            <w:tcW w:type="dxa" w:w="2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Clicks IT</w:t>
            </w:r>
          </w:p>
        </w:tc>
        <w:tc>
          <w:tcPr>
            <w:tcW w:type="dxa" w:w="2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UX/UI Designer (senior)</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8"/>
                <w:szCs w:val="18"/>
              </w:rPr>
              <w:t xml:space="preserve">$1,040/day</w:t>
            </w:r>
          </w:p>
        </w:tc>
        <w:tc>
          <w:tcPr>
            <w:tcW w:type="dxa" w:w="1826"/>
            <w:tcBorders>
              <w:top w:val="single" w:color="C9C9C9" w:sz="1"/>
              <w:left w:val="single" w:color="C9C9C9" w:sz="1"/>
              <w:bottom w:val="single" w:color="C9C9C9" w:sz="1"/>
              <w:right w:val="single" w:color="C9C9C9" w:sz="1"/>
            </w:tcBorders>
            <w:tcMar>
              <w:top w:type="dxa" w:w="44"/>
              <w:left w:type="dxa" w:w="100"/>
              <w:bottom w:type="dxa" w:w="44"/>
              <w:right w:type="dxa" w:w="100"/>
            </w:tcMar>
          </w:tcPr>
          <w:p>
            <w:hyperlink w:history="1" r:id="rIdlkcowy4xcmuehcnm9e0hz">
              <w:r>
                <w:rPr>
                  <w:rStyle w:val="Hyperlink"/>
                  <w:sz w:val="17"/>
                  <w:szCs w:val="17"/>
                </w:rPr>
                <w:t xml:space="preserve">clicks.com.au/job-salary/ux-ui-designer</w:t>
              </w:r>
            </w:hyperlink>
          </w:p>
        </w:tc>
      </w:tr>
    </w:tbl>
    <w:p>
      <w:pPr>
        <w:spacing w:after="100"/>
      </w:pPr>
    </w:p>
    <w:p>
      <w:pPr>
        <w:pStyle w:val="Heading2"/>
        <w:spacing w:after="80" w:before="200"/>
      </w:pPr>
      <w:r>
        <w:rPr>
          <w:rFonts w:ascii="Arial" w:cs="Arial" w:eastAsia="Arial" w:hAnsi="Arial"/>
          <w:b/>
          <w:bCs/>
          <w:color w:val="1A1A1A"/>
          <w:sz w:val="22"/>
          <w:szCs w:val="22"/>
        </w:rPr>
        <w:t xml:space="preserve">Frontend   -   this proposal: $106.25/hr  ($850/day)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800"/>
        <w:gridCol w:w="1826"/>
      </w:tblGrid>
      <w:tr>
        <w:trPr>
          <w:tblHeader/>
        </w:trPr>
        <w:tc>
          <w:tcPr>
            <w:tcW w:type="dxa" w:w="25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Source</w:t>
            </w:r>
          </w:p>
        </w:tc>
        <w:tc>
          <w:tcPr>
            <w:tcW w:type="dxa" w:w="2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Role / level</w:t>
            </w:r>
          </w:p>
        </w:tc>
        <w:tc>
          <w:tcPr>
            <w:tcW w:type="dxa" w:w="18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Published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Link</w:t>
            </w:r>
          </w:p>
        </w:tc>
      </w:tr>
      <w:tr>
        <w:tc>
          <w:tcPr>
            <w:tcW w:type="dxa" w:w="2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Morgan McKinley 2026</w:t>
            </w:r>
          </w:p>
        </w:tc>
        <w:tc>
          <w:tcPr>
            <w:tcW w:type="dxa" w:w="2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Software Development Team Lead</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8"/>
                <w:szCs w:val="18"/>
              </w:rPr>
              <w:t xml:space="preserve">$1,000 – 1,250/day</w:t>
            </w:r>
          </w:p>
        </w:tc>
        <w:tc>
          <w:tcPr>
            <w:tcW w:type="dxa" w:w="1826"/>
            <w:tcBorders>
              <w:top w:val="single" w:color="C9C9C9" w:sz="1"/>
              <w:left w:val="single" w:color="C9C9C9" w:sz="1"/>
              <w:bottom w:val="single" w:color="C9C9C9" w:sz="1"/>
              <w:right w:val="single" w:color="C9C9C9" w:sz="1"/>
            </w:tcBorders>
            <w:tcMar>
              <w:top w:type="dxa" w:w="44"/>
              <w:left w:type="dxa" w:w="100"/>
              <w:bottom w:type="dxa" w:w="44"/>
              <w:right w:type="dxa" w:w="100"/>
            </w:tcMar>
          </w:tcPr>
          <w:p>
            <w:hyperlink w:history="1" r:id="rIdnrlatn6p4olagnqzxqf2d">
              <w:r>
                <w:rPr>
                  <w:rStyle w:val="Hyperlink"/>
                  <w:sz w:val="17"/>
                  <w:szCs w:val="17"/>
                </w:rPr>
                <w:t xml:space="preserve">morganmckinley.com/au/salary-guide/technology/contract-salaries</w:t>
              </w:r>
            </w:hyperlink>
          </w:p>
        </w:tc>
      </w:tr>
      <w:tr>
        <w:tc>
          <w:tcPr>
            <w:tcW w:type="dxa" w:w="2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Clicks IT</w:t>
            </w:r>
          </w:p>
        </w:tc>
        <w:tc>
          <w:tcPr>
            <w:tcW w:type="dxa" w:w="29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Technical Lead</w:t>
            </w:r>
          </w:p>
        </w:tc>
        <w:tc>
          <w:tcPr>
            <w:tcW w:type="dxa" w:w="18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18"/>
                <w:szCs w:val="18"/>
              </w:rPr>
              <w:t xml:space="preserve">$1,140/day (senior)</w:t>
            </w:r>
          </w:p>
        </w:tc>
        <w:tc>
          <w:tcPr>
            <w:tcW w:type="dxa" w:w="1826"/>
            <w:tcBorders>
              <w:top w:val="single" w:color="C9C9C9" w:sz="1"/>
              <w:left w:val="single" w:color="C9C9C9" w:sz="1"/>
              <w:bottom w:val="single" w:color="C9C9C9" w:sz="1"/>
              <w:right w:val="single" w:color="C9C9C9" w:sz="1"/>
            </w:tcBorders>
            <w:shd w:fill="EEF6F7" w:val="clear"/>
            <w:tcMar>
              <w:top w:type="dxa" w:w="44"/>
              <w:left w:type="dxa" w:w="100"/>
              <w:bottom w:type="dxa" w:w="44"/>
              <w:right w:type="dxa" w:w="100"/>
            </w:tcMar>
          </w:tcPr>
          <w:p>
            <w:hyperlink w:history="1" r:id="rIdxw9b4obugtzwseugufzof">
              <w:r>
                <w:rPr>
                  <w:rStyle w:val="Hyperlink"/>
                  <w:sz w:val="17"/>
                  <w:szCs w:val="17"/>
                </w:rPr>
                <w:t xml:space="preserve">clicks.com.au/job-salary/technical-lead</w:t>
              </w:r>
            </w:hyperlink>
          </w:p>
        </w:tc>
      </w:tr>
      <w:tr>
        <w:tc>
          <w:tcPr>
            <w:tcW w:type="dxa" w:w="2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Clicks IT</w:t>
            </w:r>
          </w:p>
        </w:tc>
        <w:tc>
          <w:tcPr>
            <w:tcW w:type="dxa" w:w="2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React Developer (senior)</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8"/>
                <w:szCs w:val="18"/>
              </w:rPr>
              <w:t xml:space="preserve">$1,040/day</w:t>
            </w:r>
          </w:p>
        </w:tc>
        <w:tc>
          <w:tcPr>
            <w:tcW w:type="dxa" w:w="1826"/>
            <w:tcBorders>
              <w:top w:val="single" w:color="C9C9C9" w:sz="1"/>
              <w:left w:val="single" w:color="C9C9C9" w:sz="1"/>
              <w:bottom w:val="single" w:color="C9C9C9" w:sz="1"/>
              <w:right w:val="single" w:color="C9C9C9" w:sz="1"/>
            </w:tcBorders>
            <w:tcMar>
              <w:top w:type="dxa" w:w="44"/>
              <w:left w:type="dxa" w:w="100"/>
              <w:bottom w:type="dxa" w:w="44"/>
              <w:right w:type="dxa" w:w="100"/>
            </w:tcMar>
          </w:tcPr>
          <w:p>
            <w:hyperlink w:history="1" r:id="rId_uwyl8jcvqjjtsxjb6csf">
              <w:r>
                <w:rPr>
                  <w:rStyle w:val="Hyperlink"/>
                  <w:sz w:val="17"/>
                  <w:szCs w:val="17"/>
                </w:rPr>
                <w:t xml:space="preserve">clicks.com.au/job-salary/react-developer</w:t>
              </w:r>
            </w:hyperlink>
          </w:p>
        </w:tc>
      </w:tr>
    </w:tbl>
    <w:p>
      <w:pPr>
        <w:spacing w:after="100"/>
      </w:pPr>
    </w:p>
    <w:p>
      <w:pPr>
        <w:pStyle w:val="Heading2"/>
        <w:spacing w:after="80" w:before="200"/>
      </w:pPr>
      <w:r>
        <w:rPr>
          <w:rFonts w:ascii="Arial" w:cs="Arial" w:eastAsia="Arial" w:hAnsi="Arial"/>
          <w:b/>
          <w:bCs/>
          <w:color w:val="1A1A1A"/>
          <w:sz w:val="22"/>
          <w:szCs w:val="22"/>
        </w:rPr>
        <w:t xml:space="preserve">Backend   -   this proposal: $112.50/hr  ($900/day)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800"/>
        <w:gridCol w:w="1826"/>
      </w:tblGrid>
      <w:tr>
        <w:trPr>
          <w:tblHeader/>
        </w:trPr>
        <w:tc>
          <w:tcPr>
            <w:tcW w:type="dxa" w:w="25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Source</w:t>
            </w:r>
          </w:p>
        </w:tc>
        <w:tc>
          <w:tcPr>
            <w:tcW w:type="dxa" w:w="2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Role / level</w:t>
            </w:r>
          </w:p>
        </w:tc>
        <w:tc>
          <w:tcPr>
            <w:tcW w:type="dxa" w:w="18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Published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Link</w:t>
            </w:r>
          </w:p>
        </w:tc>
      </w:tr>
      <w:tr>
        <w:tc>
          <w:tcPr>
            <w:tcW w:type="dxa" w:w="2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Clicks IT</w:t>
            </w:r>
          </w:p>
        </w:tc>
        <w:tc>
          <w:tcPr>
            <w:tcW w:type="dxa" w:w="2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Back End Developer (senior)</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8"/>
                <w:szCs w:val="18"/>
              </w:rPr>
              <w:t xml:space="preserve">$1,400/day</w:t>
            </w:r>
          </w:p>
        </w:tc>
        <w:tc>
          <w:tcPr>
            <w:tcW w:type="dxa" w:w="1826"/>
            <w:tcBorders>
              <w:top w:val="single" w:color="C9C9C9" w:sz="1"/>
              <w:left w:val="single" w:color="C9C9C9" w:sz="1"/>
              <w:bottom w:val="single" w:color="C9C9C9" w:sz="1"/>
              <w:right w:val="single" w:color="C9C9C9" w:sz="1"/>
            </w:tcBorders>
            <w:tcMar>
              <w:top w:type="dxa" w:w="44"/>
              <w:left w:type="dxa" w:w="100"/>
              <w:bottom w:type="dxa" w:w="44"/>
              <w:right w:type="dxa" w:w="100"/>
            </w:tcMar>
          </w:tcPr>
          <w:p>
            <w:hyperlink w:history="1" r:id="rIdc-dz-7o4dbgggrvo2to89">
              <w:r>
                <w:rPr>
                  <w:rStyle w:val="Hyperlink"/>
                  <w:sz w:val="17"/>
                  <w:szCs w:val="17"/>
                </w:rPr>
                <w:t xml:space="preserve">clicks.com.au/job-salary/back-end-developer</w:t>
              </w:r>
            </w:hyperlink>
          </w:p>
        </w:tc>
      </w:tr>
      <w:tr>
        <w:tc>
          <w:tcPr>
            <w:tcW w:type="dxa" w:w="2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Morgan McKinley 2026</w:t>
            </w:r>
          </w:p>
        </w:tc>
        <w:tc>
          <w:tcPr>
            <w:tcW w:type="dxa" w:w="29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Software Development Team Lead</w:t>
            </w:r>
          </w:p>
        </w:tc>
        <w:tc>
          <w:tcPr>
            <w:tcW w:type="dxa" w:w="18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18"/>
                <w:szCs w:val="18"/>
              </w:rPr>
              <w:t xml:space="preserve">$1,000 – 1,250/day</w:t>
            </w:r>
          </w:p>
        </w:tc>
        <w:tc>
          <w:tcPr>
            <w:tcW w:type="dxa" w:w="1826"/>
            <w:tcBorders>
              <w:top w:val="single" w:color="C9C9C9" w:sz="1"/>
              <w:left w:val="single" w:color="C9C9C9" w:sz="1"/>
              <w:bottom w:val="single" w:color="C9C9C9" w:sz="1"/>
              <w:right w:val="single" w:color="C9C9C9" w:sz="1"/>
            </w:tcBorders>
            <w:shd w:fill="EEF6F7" w:val="clear"/>
            <w:tcMar>
              <w:top w:type="dxa" w:w="44"/>
              <w:left w:type="dxa" w:w="100"/>
              <w:bottom w:type="dxa" w:w="44"/>
              <w:right w:type="dxa" w:w="100"/>
            </w:tcMar>
          </w:tcPr>
          <w:p>
            <w:hyperlink w:history="1" r:id="rIdcs2jnl0vvbyuwvfpiww_f">
              <w:r>
                <w:rPr>
                  <w:rStyle w:val="Hyperlink"/>
                  <w:sz w:val="17"/>
                  <w:szCs w:val="17"/>
                </w:rPr>
                <w:t xml:space="preserve">morganmckinley.com/au/salary-guide/technology/contract-salaries</w:t>
              </w:r>
            </w:hyperlink>
          </w:p>
        </w:tc>
      </w:tr>
      <w:tr>
        <w:tc>
          <w:tcPr>
            <w:tcW w:type="dxa" w:w="2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Talent International (Mar 2026)</w:t>
            </w:r>
          </w:p>
        </w:tc>
        <w:tc>
          <w:tcPr>
            <w:tcW w:type="dxa" w:w="2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Principal Engineer (ceiling reference)</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8"/>
                <w:szCs w:val="18"/>
              </w:rPr>
              <w:t xml:space="preserve">$1,456/day</w:t>
            </w:r>
          </w:p>
        </w:tc>
        <w:tc>
          <w:tcPr>
            <w:tcW w:type="dxa" w:w="1826"/>
            <w:tcBorders>
              <w:top w:val="single" w:color="C9C9C9" w:sz="1"/>
              <w:left w:val="single" w:color="C9C9C9" w:sz="1"/>
              <w:bottom w:val="single" w:color="C9C9C9" w:sz="1"/>
              <w:right w:val="single" w:color="C9C9C9" w:sz="1"/>
            </w:tcBorders>
            <w:tcMar>
              <w:top w:type="dxa" w:w="44"/>
              <w:left w:type="dxa" w:w="100"/>
              <w:bottom w:type="dxa" w:w="44"/>
              <w:right w:type="dxa" w:w="100"/>
            </w:tcMar>
          </w:tcPr>
          <w:p>
            <w:hyperlink w:history="1" r:id="rId5ix2eyysrskslvjv3xhkg">
              <w:r>
                <w:rPr>
                  <w:rStyle w:val="Hyperlink"/>
                  <w:sz w:val="17"/>
                  <w:szCs w:val="17"/>
                </w:rPr>
                <w:t xml:space="preserve">talentinternational.com/blog/top-tech-contractor-day-rates-australia</w:t>
              </w:r>
            </w:hyperlink>
          </w:p>
        </w:tc>
      </w:tr>
    </w:tbl>
    <w:p>
      <w:pPr>
        <w:spacing w:after="100"/>
      </w:pPr>
    </w:p>
    <w:p>
      <w:pPr>
        <w:pStyle w:val="Heading2"/>
        <w:spacing w:after="80" w:before="200"/>
      </w:pPr>
      <w:r>
        <w:rPr>
          <w:rFonts w:ascii="Arial" w:cs="Arial" w:eastAsia="Arial" w:hAnsi="Arial"/>
          <w:b/>
          <w:bCs/>
          <w:color w:val="1A1A1A"/>
          <w:sz w:val="22"/>
          <w:szCs w:val="22"/>
        </w:rPr>
        <w:t xml:space="preserve">DevOps / Infra   -   this proposal: $118.75/hr  ($950/day)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800"/>
        <w:gridCol w:w="1826"/>
      </w:tblGrid>
      <w:tr>
        <w:trPr>
          <w:tblHeader/>
        </w:trPr>
        <w:tc>
          <w:tcPr>
            <w:tcW w:type="dxa" w:w="25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Source</w:t>
            </w:r>
          </w:p>
        </w:tc>
        <w:tc>
          <w:tcPr>
            <w:tcW w:type="dxa" w:w="2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Role / level</w:t>
            </w:r>
          </w:p>
        </w:tc>
        <w:tc>
          <w:tcPr>
            <w:tcW w:type="dxa" w:w="18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Published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Link</w:t>
            </w:r>
          </w:p>
        </w:tc>
      </w:tr>
      <w:tr>
        <w:tc>
          <w:tcPr>
            <w:tcW w:type="dxa" w:w="2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Latitude IT (May 2026)</w:t>
            </w:r>
          </w:p>
        </w:tc>
        <w:tc>
          <w:tcPr>
            <w:tcW w:type="dxa" w:w="2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Lead / Principal (10+ yrs)</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8"/>
                <w:szCs w:val="18"/>
              </w:rPr>
              <w:t xml:space="preserve">$1,200 – 1,500/day</w:t>
            </w:r>
          </w:p>
        </w:tc>
        <w:tc>
          <w:tcPr>
            <w:tcW w:type="dxa" w:w="1826"/>
            <w:tcBorders>
              <w:top w:val="single" w:color="C9C9C9" w:sz="1"/>
              <w:left w:val="single" w:color="C9C9C9" w:sz="1"/>
              <w:bottom w:val="single" w:color="C9C9C9" w:sz="1"/>
              <w:right w:val="single" w:color="C9C9C9" w:sz="1"/>
            </w:tcBorders>
            <w:tcMar>
              <w:top w:type="dxa" w:w="44"/>
              <w:left w:type="dxa" w:w="100"/>
              <w:bottom w:type="dxa" w:w="44"/>
              <w:right w:type="dxa" w:w="100"/>
            </w:tcMar>
          </w:tcPr>
          <w:p>
            <w:hyperlink w:history="1" r:id="rIdrapevqij8vobdwr4lxrjc">
              <w:r>
                <w:rPr>
                  <w:rStyle w:val="Hyperlink"/>
                  <w:sz w:val="17"/>
                  <w:szCs w:val="17"/>
                </w:rPr>
                <w:t xml:space="preserve">latitudeit.com.au - DevOps salary 2026</w:t>
              </w:r>
            </w:hyperlink>
          </w:p>
        </w:tc>
      </w:tr>
      <w:tr>
        <w:tc>
          <w:tcPr>
            <w:tcW w:type="dxa" w:w="25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Morgan McKinley 2026</w:t>
            </w:r>
          </w:p>
        </w:tc>
        <w:tc>
          <w:tcPr>
            <w:tcW w:type="dxa" w:w="29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DevOps Engineer (high) / Cloud Platform (high)</w:t>
            </w:r>
          </w:p>
        </w:tc>
        <w:tc>
          <w:tcPr>
            <w:tcW w:type="dxa" w:w="18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b/>
                <w:bCs/>
                <w:color w:val="1A1A1A"/>
                <w:sz w:val="18"/>
                <w:szCs w:val="18"/>
              </w:rPr>
              <w:t xml:space="preserve">$1,500 / $1,600/day</w:t>
            </w:r>
          </w:p>
        </w:tc>
        <w:tc>
          <w:tcPr>
            <w:tcW w:type="dxa" w:w="1826"/>
            <w:tcBorders>
              <w:top w:val="single" w:color="C9C9C9" w:sz="1"/>
              <w:left w:val="single" w:color="C9C9C9" w:sz="1"/>
              <w:bottom w:val="single" w:color="C9C9C9" w:sz="1"/>
              <w:right w:val="single" w:color="C9C9C9" w:sz="1"/>
            </w:tcBorders>
            <w:shd w:fill="EEF6F7" w:val="clear"/>
            <w:tcMar>
              <w:top w:type="dxa" w:w="44"/>
              <w:left w:type="dxa" w:w="100"/>
              <w:bottom w:type="dxa" w:w="44"/>
              <w:right w:type="dxa" w:w="100"/>
            </w:tcMar>
          </w:tcPr>
          <w:p>
            <w:hyperlink w:history="1" r:id="rIdk5fcv_cj3sq0rc5n-xqm1">
              <w:r>
                <w:rPr>
                  <w:rStyle w:val="Hyperlink"/>
                  <w:sz w:val="17"/>
                  <w:szCs w:val="17"/>
                </w:rPr>
                <w:t xml:space="preserve">morganmckinley.com/au/salary-guide/technology/contract-salaries</w:t>
              </w:r>
            </w:hyperlink>
          </w:p>
        </w:tc>
      </w:tr>
      <w:tr>
        <w:tc>
          <w:tcPr>
            <w:tcW w:type="dxa" w:w="25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Clicks IT</w:t>
            </w:r>
          </w:p>
        </w:tc>
        <w:tc>
          <w:tcPr>
            <w:tcW w:type="dxa" w:w="2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DevOps Engineer (senior)</w:t>
            </w:r>
          </w:p>
        </w:tc>
        <w:tc>
          <w:tcPr>
            <w:tcW w:type="dxa" w:w="18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b/>
                <w:bCs/>
                <w:color w:val="1A1A1A"/>
                <w:sz w:val="18"/>
                <w:szCs w:val="18"/>
              </w:rPr>
              <w:t xml:space="preserve">$1,245/day</w:t>
            </w:r>
          </w:p>
        </w:tc>
        <w:tc>
          <w:tcPr>
            <w:tcW w:type="dxa" w:w="1826"/>
            <w:tcBorders>
              <w:top w:val="single" w:color="C9C9C9" w:sz="1"/>
              <w:left w:val="single" w:color="C9C9C9" w:sz="1"/>
              <w:bottom w:val="single" w:color="C9C9C9" w:sz="1"/>
              <w:right w:val="single" w:color="C9C9C9" w:sz="1"/>
            </w:tcBorders>
            <w:tcMar>
              <w:top w:type="dxa" w:w="44"/>
              <w:left w:type="dxa" w:w="100"/>
              <w:bottom w:type="dxa" w:w="44"/>
              <w:right w:type="dxa" w:w="100"/>
            </w:tcMar>
          </w:tcPr>
          <w:p>
            <w:hyperlink w:history="1" r:id="rIdy0wziukjmoaswidqmpmpo">
              <w:r>
                <w:rPr>
                  <w:rStyle w:val="Hyperlink"/>
                  <w:sz w:val="17"/>
                  <w:szCs w:val="17"/>
                </w:rPr>
                <w:t xml:space="preserve">clicks.com.au/job-salary/devops-engineer</w:t>
              </w:r>
            </w:hyperlink>
          </w:p>
        </w:tc>
      </w:tr>
    </w:tbl>
    <w:p>
      <w:pPr>
        <w:spacing w:after="100"/>
      </w:pPr>
    </w:p>
    <w:p>
      <w:pPr>
        <w:pStyle w:val="Heading2"/>
        <w:spacing w:after="80" w:before="200"/>
      </w:pPr>
      <w:r>
        <w:rPr>
          <w:rFonts w:ascii="Arial" w:cs="Arial" w:eastAsia="Arial" w:hAnsi="Arial"/>
          <w:b/>
          <w:bCs/>
          <w:color w:val="1A1A1A"/>
          <w:sz w:val="22"/>
          <w:szCs w:val="22"/>
        </w:rPr>
        <w:t xml:space="preserve">What this program would cost at lead market rates</w:t>
      </w:r>
    </w:p>
    <w:p>
      <w:pPr>
        <w:spacing w:after="80" w:before="0" w:line="264"/>
      </w:pPr>
      <w:r>
        <w:rPr>
          <w:color w:val="5A5A5A"/>
          <w:sz w:val="19"/>
          <w:szCs w:val="19"/>
        </w:rPr>
        <w:t xml:space="preserve">Priced at the bottom of the published lead bands above - i.e. the cheapest lead-level market scenario, before agency margins: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700"/>
        <w:gridCol w:w="1900"/>
        <w:gridCol w:w="1526"/>
      </w:tblGrid>
      <w:tr>
        <w:trPr>
          <w:tblHeader/>
        </w:trPr>
        <w:tc>
          <w:tcPr>
            <w:tcW w:type="dxa" w:w="27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Discipline</w:t>
            </w:r>
          </w:p>
        </w:tc>
        <w:tc>
          <w:tcPr>
            <w:tcW w:type="dxa" w:w="12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Hours</w:t>
            </w:r>
          </w:p>
        </w:tc>
        <w:tc>
          <w:tcPr>
            <w:tcW w:type="dxa" w:w="17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Lead rate (low)</w:t>
            </w:r>
          </w:p>
        </w:tc>
        <w:tc>
          <w:tcPr>
            <w:tcW w:type="dxa" w:w="1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At lead market</w:t>
            </w:r>
          </w:p>
        </w:tc>
        <w:tc>
          <w:tcPr>
            <w:tcW w:type="dxa" w:w="15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This proposal</w:t>
            </w:r>
          </w:p>
        </w:tc>
      </w:tr>
      <w:tr>
        <w:tc>
          <w:tcPr>
            <w:tcW w:type="dxa" w:w="27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UX / Design</w:t>
            </w:r>
          </w:p>
        </w:tc>
        <w:tc>
          <w:tcPr>
            <w:tcW w:type="dxa" w:w="1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126 h</w:t>
            </w:r>
          </w:p>
        </w:tc>
        <w:tc>
          <w:tcPr>
            <w:tcW w:type="dxa" w:w="17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$130.00/hr</w:t>
            </w:r>
          </w:p>
        </w:tc>
        <w:tc>
          <w:tcPr>
            <w:tcW w:type="dxa" w:w="1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$16,380.00</w:t>
            </w:r>
          </w:p>
        </w:tc>
        <w:tc>
          <w:tcPr>
            <w:tcW w:type="dxa" w:w="1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$12,600.00</w:t>
            </w:r>
          </w:p>
        </w:tc>
      </w:tr>
      <w:tr>
        <w:tc>
          <w:tcPr>
            <w:tcW w:type="dxa" w:w="27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Frontend</w:t>
            </w:r>
          </w:p>
        </w:tc>
        <w:tc>
          <w:tcPr>
            <w:tcW w:type="dxa" w:w="1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color w:val="1A1A1A"/>
                <w:sz w:val="18"/>
                <w:szCs w:val="18"/>
              </w:rPr>
              <w:t xml:space="preserve">573 h</w:t>
            </w:r>
          </w:p>
        </w:tc>
        <w:tc>
          <w:tcPr>
            <w:tcW w:type="dxa" w:w="17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color w:val="1A1A1A"/>
                <w:sz w:val="18"/>
                <w:szCs w:val="18"/>
              </w:rPr>
              <w:t xml:space="preserve">$137.50/hr</w:t>
            </w:r>
          </w:p>
        </w:tc>
        <w:tc>
          <w:tcPr>
            <w:tcW w:type="dxa" w:w="19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color w:val="1A1A1A"/>
                <w:sz w:val="18"/>
                <w:szCs w:val="18"/>
              </w:rPr>
              <w:t xml:space="preserve">$78,787.50</w:t>
            </w:r>
          </w:p>
        </w:tc>
        <w:tc>
          <w:tcPr>
            <w:tcW w:type="dxa" w:w="15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color w:val="1A1A1A"/>
                <w:sz w:val="18"/>
                <w:szCs w:val="18"/>
              </w:rPr>
              <w:t xml:space="preserve">$60,881.25</w:t>
            </w:r>
          </w:p>
        </w:tc>
      </w:tr>
      <w:tr>
        <w:tc>
          <w:tcPr>
            <w:tcW w:type="dxa" w:w="27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Backend</w:t>
            </w:r>
          </w:p>
        </w:tc>
        <w:tc>
          <w:tcPr>
            <w:tcW w:type="dxa" w:w="1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707 h</w:t>
            </w:r>
          </w:p>
        </w:tc>
        <w:tc>
          <w:tcPr>
            <w:tcW w:type="dxa" w:w="17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$125.00/hr</w:t>
            </w:r>
          </w:p>
        </w:tc>
        <w:tc>
          <w:tcPr>
            <w:tcW w:type="dxa" w:w="1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$88,375.00</w:t>
            </w:r>
          </w:p>
        </w:tc>
        <w:tc>
          <w:tcPr>
            <w:tcW w:type="dxa" w:w="1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$79,537.50</w:t>
            </w:r>
          </w:p>
        </w:tc>
      </w:tr>
      <w:tr>
        <w:tc>
          <w:tcPr>
            <w:tcW w:type="dxa" w:w="27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DevOps / Infra</w:t>
            </w:r>
          </w:p>
        </w:tc>
        <w:tc>
          <w:tcPr>
            <w:tcW w:type="dxa" w:w="1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color w:val="1A1A1A"/>
                <w:sz w:val="18"/>
                <w:szCs w:val="18"/>
              </w:rPr>
              <w:t xml:space="preserve">32 h</w:t>
            </w:r>
          </w:p>
        </w:tc>
        <w:tc>
          <w:tcPr>
            <w:tcW w:type="dxa" w:w="17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color w:val="1A1A1A"/>
                <w:sz w:val="18"/>
                <w:szCs w:val="18"/>
              </w:rPr>
              <w:t xml:space="preserve">$150.00/hr</w:t>
            </w:r>
          </w:p>
        </w:tc>
        <w:tc>
          <w:tcPr>
            <w:tcW w:type="dxa" w:w="19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color w:val="1A1A1A"/>
                <w:sz w:val="18"/>
                <w:szCs w:val="18"/>
              </w:rPr>
              <w:t xml:space="preserve">$4,800.00</w:t>
            </w:r>
          </w:p>
        </w:tc>
        <w:tc>
          <w:tcPr>
            <w:tcW w:type="dxa" w:w="15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color w:val="1A1A1A"/>
                <w:sz w:val="18"/>
                <w:szCs w:val="18"/>
              </w:rPr>
              <w:t xml:space="preserve">$3,800.00</w:t>
            </w:r>
          </w:p>
        </w:tc>
      </w:tr>
      <w:tr>
        <w:tc>
          <w:tcPr>
            <w:tcW w:type="dxa" w:w="27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Product Mgmt / BA</w:t>
            </w:r>
          </w:p>
        </w:tc>
        <w:tc>
          <w:tcPr>
            <w:tcW w:type="dxa" w:w="1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155 h</w:t>
            </w:r>
          </w:p>
        </w:tc>
        <w:tc>
          <w:tcPr>
            <w:tcW w:type="dxa" w:w="17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$131.25/hr</w:t>
            </w:r>
          </w:p>
        </w:tc>
        <w:tc>
          <w:tcPr>
            <w:tcW w:type="dxa" w:w="19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$20,343.75</w:t>
            </w:r>
          </w:p>
        </w:tc>
        <w:tc>
          <w:tcPr>
            <w:tcW w:type="dxa" w:w="15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color w:val="1A1A1A"/>
                <w:sz w:val="18"/>
                <w:szCs w:val="18"/>
              </w:rPr>
              <w:t xml:space="preserve">$14,531.25</w:t>
            </w:r>
          </w:p>
        </w:tc>
      </w:tr>
    </w:tbl>
    <w:p>
      <w:pPr>
        <w:spacing w:after="4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150"/>
        <w:gridCol w:w="1650"/>
        <w:gridCol w:w="1226"/>
      </w:tblGrid>
      <w:tr>
        <w:trPr>
          <w:tblHeader/>
        </w:trPr>
        <w:tc>
          <w:tcPr>
            <w:tcW w:type="dxa" w:w="51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65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2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r>
      <w:tr>
        <w:tc>
          <w:tcPr>
            <w:tcW w:type="dxa" w:w="515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All eight modules at lead market rates (low end)</w:t>
            </w:r>
          </w:p>
        </w:tc>
        <w:tc>
          <w:tcPr>
            <w:tcW w:type="dxa" w:w="165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
            </w:r>
          </w:p>
        </w:tc>
        <w:tc>
          <w:tcPr>
            <w:tcW w:type="dxa" w:w="12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sz w:val="19"/>
                <w:szCs w:val="19"/>
              </w:rPr>
              <w:t xml:space="preserve">$208,686.25</w:t>
            </w:r>
          </w:p>
        </w:tc>
      </w:tr>
      <w:tr>
        <w:tc>
          <w:tcPr>
            <w:tcW w:type="dxa" w:w="515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color w:val="1A1A1A"/>
                <w:sz w:val="21"/>
                <w:szCs w:val="21"/>
              </w:rPr>
              <w:t xml:space="preserve">This proposal - listed prices</w:t>
            </w:r>
          </w:p>
        </w:tc>
        <w:tc>
          <w:tcPr>
            <w:tcW w:type="dxa" w:w="165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color w:val="1B7A3D"/>
                <w:sz w:val="18"/>
                <w:szCs w:val="18"/>
              </w:rPr>
              <w:t xml:space="preserve">saves $37,336.25</w:t>
            </w:r>
          </w:p>
        </w:tc>
        <w:tc>
          <w:tcPr>
            <w:tcW w:type="dxa" w:w="12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$171,350.00</w:t>
            </w:r>
          </w:p>
        </w:tc>
      </w:tr>
      <w:tr>
        <w:tc>
          <w:tcPr>
            <w:tcW w:type="dxa" w:w="515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This proposal - with the 20% commitment discount</w:t>
            </w:r>
          </w:p>
        </w:tc>
        <w:tc>
          <w:tcPr>
            <w:tcW w:type="dxa" w:w="165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1B7A3D"/>
                <w:sz w:val="18"/>
                <w:szCs w:val="18"/>
              </w:rPr>
              <w:t xml:space="preserve">saves $71,606.25</w:t>
            </w:r>
          </w:p>
        </w:tc>
        <w:tc>
          <w:tcPr>
            <w:tcW w:type="dxa" w:w="12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9"/>
                <w:szCs w:val="19"/>
              </w:rPr>
              <w:t xml:space="preserve">$137,080.00</w:t>
            </w:r>
          </w:p>
        </w:tc>
      </w:tr>
    </w:tbl>
    <w:p>
      <w:pPr>
        <w:spacing w:after="200" w:before="120" w:line="264"/>
      </w:pPr>
      <w:r>
        <w:rPr>
          <w:color w:val="1A1A1A"/>
          <w:sz w:val="21"/>
          <w:szCs w:val="21"/>
        </w:rPr>
        <w:t xml:space="preserve">Respect always,</w:t>
      </w:r>
    </w:p>
    <w:p>
      <w:pPr>
        <w:spacing w:after="10" w:before="0" w:line="264"/>
      </w:pPr>
      <w:r>
        <w:rPr>
          <w:b/>
          <w:bCs/>
          <w:color w:val="1A1A1A"/>
          <w:sz w:val="22"/>
          <w:szCs w:val="22"/>
        </w:rPr>
        <w:t xml:space="preserve">Aaron J. Girton</w:t>
      </w:r>
    </w:p>
    <w:p>
      <w:pPr>
        <w:spacing w:after="10" w:before="0" w:line="264"/>
      </w:pPr>
      <w:r>
        <w:rPr>
          <w:i/>
          <w:iCs/>
          <w:color w:val="5A5A5A"/>
          <w:sz w:val="19"/>
          <w:szCs w:val="19"/>
        </w:rPr>
        <w:t xml:space="preserve">Director, Intradark Pty Ltd</w:t>
      </w:r>
    </w:p>
    <w:p>
      <w:pPr>
        <w:spacing w:after="160" w:before="0" w:line="264"/>
      </w:pPr>
      <w:r>
        <w:rPr>
          <w:color w:val="5A5A5A"/>
          <w:sz w:val="19"/>
          <w:szCs w:val="19"/>
        </w:rPr>
        <w:t xml:space="preserve">agirton@intradark.com</w:t>
      </w:r>
    </w:p>
    <w:p>
      <w:pPr>
        <w:spacing w:after="0"/>
      </w:pPr>
      <w:r>
        <w:drawing>
          <wp:inline distT="0" distB="0" distL="0" distR="0">
            <wp:extent cx="1333500" cy="18097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80975"/>
                    </a:xfrm>
                    <a:prstGeom prst="rect">
                      <a:avLst/>
                    </a:prstGeom>
                  </pic:spPr>
                </pic:pic>
              </a:graphicData>
            </a:graphic>
          </wp:inline>
        </w:drawing>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Change-Request Proposal - Confidential for Amayda Pty Ltd</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Change-Request Proposal - Confidential for Amayda Pty Ltd</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904875" cy="12382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123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8490"/>
      </w:rPr>
    </w:lvl>
  </w:abstractNum>
  <w:abstractNum w:abstractNumId="3" w15:restartNumberingAfterBreak="0">
    <w:multiLevelType w:val="hybridMultilevel"/>
    <w:lvl w:ilvl="0" w15:tentative="1">
      <w:start w:val="1"/>
      <w:numFmt w:val="bullet"/>
      <w:lvlText w:val="□"/>
      <w:lvlJc w:val="left"/>
      <w:pPr>
        <w:ind w:left="500" w:hanging="280"/>
      </w:pPr>
      <w:rPr>
        <w:color w:val="0084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8490"/>
      <w:sz w:val="26"/>
      <w:szCs w:val="26"/>
    </w:rPr>
  </w:style>
  <w:style w:type="paragraph" w:styleId="Heading2">
    <w:name w:val="Heading 2"/>
    <w:basedOn w:val="Normal"/>
    <w:next w:val="Normal"/>
    <w:qFormat/>
    <w:pPr>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f6gnwopptoq7e-yjgxmkj" Type="http://schemas.openxmlformats.org/officeDocument/2006/relationships/hyperlink" Target="https://www.morganmckinley.com/au/salary-guide/projects-strategy-change/contract-salaries" TargetMode="External"/><Relationship Id="rIdzddo4jjzc03ydpuakjtjb" Type="http://schemas.openxmlformats.org/officeDocument/2006/relationships/hyperlink" Target="https://clicks.com.au/job-salary/delivery-lead/" TargetMode="External"/><Relationship Id="rIdfervyzabj_a60wniandyu" Type="http://schemas.openxmlformats.org/officeDocument/2006/relationships/hyperlink" Target="https://clicks.com.au/job-salary/product-manager/" TargetMode="External"/><Relationship Id="rIdvvrsb00rjqzshrooz_jgw" Type="http://schemas.openxmlformats.org/officeDocument/2006/relationships/hyperlink" Target="https://clicks.com.au/job-salary/ux-ui-architect/" TargetMode="External"/><Relationship Id="rIdf4rqpvjs18nfhem9jnncx" Type="http://schemas.openxmlformats.org/officeDocument/2006/relationships/hyperlink" Target="https://www.morganmckinley.com/au/salary-guide/technology/contract-salaries" TargetMode="External"/><Relationship Id="rIdlkcowy4xcmuehcnm9e0hz" Type="http://schemas.openxmlformats.org/officeDocument/2006/relationships/hyperlink" Target="https://clicks.com.au/job-salary/ux-ui-designer/" TargetMode="External"/><Relationship Id="rIdnrlatn6p4olagnqzxqf2d" Type="http://schemas.openxmlformats.org/officeDocument/2006/relationships/hyperlink" Target="https://www.morganmckinley.com/au/salary-guide/technology/contract-salaries" TargetMode="External"/><Relationship Id="rIdxw9b4obugtzwseugufzof" Type="http://schemas.openxmlformats.org/officeDocument/2006/relationships/hyperlink" Target="https://clicks.com.au/job-salary/technical-lead/" TargetMode="External"/><Relationship Id="rId_uwyl8jcvqjjtsxjb6csf" Type="http://schemas.openxmlformats.org/officeDocument/2006/relationships/hyperlink" Target="https://clicks.com.au/job-salary/react-developer/" TargetMode="External"/><Relationship Id="rIdc-dz-7o4dbgggrvo2to89" Type="http://schemas.openxmlformats.org/officeDocument/2006/relationships/hyperlink" Target="https://clicks.com.au/job-salary/back-end-developer/" TargetMode="External"/><Relationship Id="rIdcs2jnl0vvbyuwvfpiww_f" Type="http://schemas.openxmlformats.org/officeDocument/2006/relationships/hyperlink" Target="https://www.morganmckinley.com/au/salary-guide/technology/contract-salaries" TargetMode="External"/><Relationship Id="rId5ix2eyysrskslvjv3xhkg" Type="http://schemas.openxmlformats.org/officeDocument/2006/relationships/hyperlink" Target="https://www.talentinternational.com/blog/top-tech-contractor-day-rates-australia/" TargetMode="External"/><Relationship Id="rIdrapevqij8vobdwr4lxrjc" Type="http://schemas.openxmlformats.org/officeDocument/2006/relationships/hyperlink" Target="https://www.latitudeit.com.au/post/devops-engineer-salary-in-australia-2026-what-companies-are-actually-paying" TargetMode="External"/><Relationship Id="rIdk5fcv_cj3sq0rc5n-xqm1" Type="http://schemas.openxmlformats.org/officeDocument/2006/relationships/hyperlink" Target="https://www.morganmckinley.com/au/salary-guide/technology/contract-salaries" TargetMode="External"/><Relationship Id="rIdy0wziukjmoaswidqmpmpo" Type="http://schemas.openxmlformats.org/officeDocument/2006/relationships/hyperlink" Target="https://clicks.com.au/job-salary/devops-engineer/" TargetMode="External"/><Relationship Id="rId11" Type="http://schemas.openxmlformats.org/officeDocument/2006/relationships/image" Target="media/38f661d8ac06033ac8477e348f4e9219a04e47d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8f661d8ac06033ac8477e348f4e9219a04e47d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Bullyproof Change-Request Proposal</dc:title>
  <dc:creator>Intradark</dc:creator>
  <cp:lastModifiedBy>Un-named</cp:lastModifiedBy>
  <cp:revision>1</cp:revision>
  <dcterms:created xsi:type="dcterms:W3CDTF">2026-07-05T11:22:22.808Z</dcterms:created>
  <dcterms:modified xsi:type="dcterms:W3CDTF">2026-07-05T11:22:22.809Z</dcterms:modified>
</cp:coreProperties>
</file>

<file path=docProps/custom.xml><?xml version="1.0" encoding="utf-8"?>
<Properties xmlns="http://schemas.openxmlformats.org/officeDocument/2006/custom-properties" xmlns:vt="http://schemas.openxmlformats.org/officeDocument/2006/docPropsVTypes"/>
</file>