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952625" cy="266700"/>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52625" cy="266700"/>
                    </a:xfrm>
                    <a:prstGeom prst="rect">
                      <a:avLst/>
                    </a:prstGeom>
                  </pic:spPr>
                </pic:pic>
              </a:graphicData>
            </a:graphic>
          </wp:inline>
        </w:drawing>
      </w:r>
    </w:p>
    <w:p>
      <w:pPr>
        <w:pBdr>
          <w:bottom w:val="single" w:color="008490" w:sz="10" w:space="6"/>
        </w:pBdr>
        <w:spacing w:after="60" w:before="80"/>
      </w:pPr>
      <w:r>
        <w:rPr>
          <w:i/>
          <w:iCs/>
          <w:color w:val="5A5A5A"/>
          <w:sz w:val="17"/>
          <w:szCs w:val="17"/>
        </w:rPr>
        <w:t xml:space="preserve">Intradark Pty Ltd  ·  ABN 38 696 182 457</w:t>
      </w:r>
    </w:p>
    <w:p>
      <w:pPr>
        <w:spacing w:after="40" w:before="220"/>
      </w:pPr>
      <w:r>
        <w:rPr>
          <w:rFonts w:ascii="Arial" w:cs="Arial" w:eastAsia="Arial" w:hAnsi="Arial"/>
          <w:b/>
          <w:bCs/>
          <w:color w:val="008490"/>
          <w:sz w:val="26"/>
          <w:szCs w:val="26"/>
        </w:rPr>
        <w:t xml:space="preserve">Quote - M1: Content Type</w:t>
      </w:r>
    </w:p>
    <w:p>
      <w:pPr>
        <w:spacing w:after="160"/>
      </w:pPr>
      <w:r>
        <w:rPr>
          <w:i/>
          <w:iCs/>
          <w:color w:val="5A5A5A"/>
          <w:sz w:val="20"/>
          <w:szCs w:val="20"/>
        </w:rPr>
        <w:t xml:space="preserve">As separately agreed on 23 April 2026 - delivered under the $30,000 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To:</w:t>
            </w:r>
          </w:p>
        </w:tc>
        <w:tc>
          <w:tcPr>
            <w:tcW w:type="dxa" w:w="7526"/>
            <w:tcBorders>
              <w:top w:val="none"/>
              <w:left w:val="none"/>
              <w:bottom w:val="none"/>
              <w:right w:val="none"/>
            </w:tcBorders>
            <w:tcMar>
              <w:top w:type="dxa" w:w="26"/>
              <w:left w:type="dxa" w:w="0"/>
              <w:bottom w:type="dxa" w:w="26"/>
              <w:right w:type="dxa" w:w="0"/>
            </w:tcMar>
          </w:tcPr>
          <w:p>
            <w:r>
              <w:rPr>
                <w:b/>
                <w:bCs/>
                <w:color w:val="1A1A1A"/>
                <w:sz w:val="20"/>
                <w:szCs w:val="20"/>
              </w:rPr>
              <w:t xml:space="preserve">Glenn Rushton</w:t>
            </w:r>
            <w:r>
              <w:rPr>
                <w:color w:val="5A5A5A"/>
                <w:sz w:val="19"/>
                <w:szCs w:val="19"/>
              </w:rPr>
              <w:t xml:space="preserve">  -  Director, Amayda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From:</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Aaron J. Girton, Intradark Pty Ltd</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Date: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29 June 2026</w:t>
            </w:r>
          </w:p>
        </w:tc>
      </w:tr>
      <w:tr>
        <w:tc>
          <w:tcPr>
            <w:tcW w:type="dxa" w:w="1500"/>
            <w:tcBorders>
              <w:top w:val="none"/>
              <w:left w:val="none"/>
              <w:bottom w:val="none"/>
              <w:right w:val="none"/>
            </w:tcBorders>
            <w:tcMar>
              <w:top w:type="dxa" w:w="26"/>
              <w:left w:type="dxa" w:w="0"/>
              <w:bottom w:type="dxa" w:w="26"/>
              <w:right w:type="dxa" w:w="80"/>
            </w:tcMar>
          </w:tcPr>
          <w:p>
            <w:r>
              <w:rPr>
                <w:b/>
                <w:bCs/>
                <w:color w:val="5A5A5A"/>
                <w:sz w:val="18"/>
                <w:szCs w:val="18"/>
              </w:rPr>
              <w:t xml:space="preserve">Module:</w:t>
            </w:r>
          </w:p>
        </w:tc>
        <w:tc>
          <w:tcPr>
            <w:tcW w:type="dxa" w:w="7526"/>
            <w:tcBorders>
              <w:top w:val="none"/>
              <w:left w:val="none"/>
              <w:bottom w:val="none"/>
              <w:right w:val="none"/>
            </w:tcBorders>
            <w:tcMar>
              <w:top w:type="dxa" w:w="26"/>
              <w:left w:type="dxa" w:w="0"/>
              <w:bottom w:type="dxa" w:w="26"/>
              <w:right w:type="dxa" w:w="0"/>
            </w:tcMar>
          </w:tcPr>
          <w:p>
            <w:r>
              <w:rPr>
                <w:color w:val="1A1A1A"/>
                <w:sz w:val="19"/>
                <w:szCs w:val="19"/>
              </w:rPr>
              <w:t xml:space="preserve">M1 - separately agreed, not to exceed $30,000 (your email of 23 April 2026)</w:t>
            </w:r>
          </w:p>
        </w:tc>
      </w:tr>
    </w:tbl>
    <w:p>
      <w:pPr>
        <w:spacing w:after="60"/>
      </w:pPr>
    </w:p>
    <w:p>
      <w:pPr>
        <w:spacing w:after="100" w:before="0" w:line="264"/>
      </w:pPr>
      <w:r>
        <w:rPr>
          <w:color w:val="1A1A1A"/>
          <w:sz w:val="21"/>
          <w:szCs w:val="21"/>
        </w:rPr>
        <w:t xml:space="preserve">The Content Type as agreed in April, plus an optional companion piece for the multi-class selection flow. Priced independently - commission either or both, in whatever order suits. Noting your 22 June advice that Thursday Island cannot start until the Content Type is operational.</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1.  Content Type</w:t>
      </w:r>
    </w:p>
    <w:p>
      <w:pPr>
        <w:spacing w:after="80" w:before="0" w:line="264"/>
      </w:pPr>
      <w:r>
        <w:rPr>
          <w:color w:val="1A1A1A"/>
          <w:sz w:val="21"/>
          <w:szCs w:val="21"/>
        </w:rPr>
        <w:t xml:space="preserve">The configurable content-type system, exactly as agreed in your email of 23 April 2026 (in its own agreement, kept separate from the Variation).</w:t>
      </w:r>
    </w:p>
    <w:p>
      <w:pPr>
        <w:pStyle w:val="ListParagraph"/>
        <w:numPr>
          <w:ilvl w:val="0"/>
          <w:numId w:val="2"/>
        </w:numPr>
        <w:spacing w:after="60" w:line="264"/>
      </w:pPr>
      <w:r>
        <w:rPr>
          <w:color w:val="1A1A1A"/>
          <w:sz w:val="21"/>
          <w:szCs w:val="21"/>
        </w:rPr>
        <w:t xml:space="preserve">Configurable content-type entity - name, level count, level names</w:t>
      </w:r>
    </w:p>
    <w:p>
      <w:pPr>
        <w:pStyle w:val="ListParagraph"/>
        <w:numPr>
          <w:ilvl w:val="0"/>
          <w:numId w:val="2"/>
        </w:numPr>
        <w:spacing w:after="60" w:line="264"/>
      </w:pPr>
      <w:r>
        <w:rPr>
          <w:color w:val="1A1A1A"/>
          <w:sz w:val="21"/>
          <w:szCs w:val="21"/>
        </w:rPr>
        <w:t xml:space="preserve">Per-content-type lesson authoring and upload</w:t>
      </w:r>
    </w:p>
    <w:p>
      <w:pPr>
        <w:pStyle w:val="ListParagraph"/>
        <w:numPr>
          <w:ilvl w:val="0"/>
          <w:numId w:val="2"/>
        </w:numPr>
        <w:spacing w:after="60" w:line="264"/>
      </w:pPr>
      <w:r>
        <w:rPr>
          <w:color w:val="1A1A1A"/>
          <w:sz w:val="21"/>
          <w:szCs w:val="21"/>
        </w:rPr>
        <w:t xml:space="preserve">Content-Type dropdown on Add New School</w:t>
      </w:r>
    </w:p>
    <w:p>
      <w:pPr>
        <w:pStyle w:val="ListParagraph"/>
        <w:numPr>
          <w:ilvl w:val="0"/>
          <w:numId w:val="2"/>
        </w:numPr>
        <w:spacing w:after="60" w:line="264"/>
      </w:pPr>
      <w:r>
        <w:rPr>
          <w:color w:val="1A1A1A"/>
          <w:sz w:val="21"/>
          <w:szCs w:val="21"/>
        </w:rPr>
        <w:t xml:space="preserve">Per-content-type resources</w:t>
      </w:r>
    </w:p>
    <w:p>
      <w:pPr>
        <w:spacing w:after="80" w:before="60" w:line="264"/>
      </w:pPr>
      <w:r>
        <w:rPr>
          <w:color w:val="1A1A1A"/>
          <w:sz w:val="21"/>
          <w:szCs w:val="21"/>
        </w:rPr>
        <w:t xml:space="preserve">Priced by discipline at the same senior contract rates as every other module (ex-GST):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200"/>
        <w:gridCol w:w="1826"/>
      </w:tblGrid>
      <w:tr>
        <w:trPr>
          <w:tblHeader/>
        </w:trPr>
        <w:tc>
          <w:tcPr>
            <w:tcW w:type="dxa" w:w="3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Discipline</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Hours</w:t>
            </w:r>
          </w:p>
        </w:tc>
        <w:tc>
          <w:tcPr>
            <w:tcW w:type="dxa" w:w="22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Hourly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Subtotal</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UX / Design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16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$100.00/hr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$1,600.00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Frontend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70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$106.25/hr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$7,437.50</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Backend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72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$112.50/hr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$8,100.00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DevOps / Infra</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4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$118.75/hr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$475.00</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Product Mgmt / BA</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16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$93.75/hr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$1,500.00</w:t>
            </w:r>
          </w:p>
        </w:tc>
      </w:tr>
    </w:tbl>
    <w:p>
      <w:pPr>
        <w:spacing w:after="80" w:before="60" w:line="264"/>
      </w:pPr>
      <w:r>
        <w:rPr>
          <w:b/>
          <w:bCs/>
          <w:color w:val="1A1A1A"/>
          <w:sz w:val="21"/>
          <w:szCs w:val="21"/>
        </w:rPr>
        <w:t xml:space="preserve">Content Type total: </w:t>
      </w:r>
      <w:r>
        <w:rPr>
          <w:color w:val="1A1A1A"/>
          <w:sz w:val="21"/>
          <w:szCs w:val="21"/>
        </w:rPr>
        <w:t xml:space="preserve">178 hours  ·  $107.37/hr blended  ·  </w:t>
      </w:r>
      <w:r>
        <w:rPr>
          <w:b/>
          <w:bCs/>
          <w:color w:val="008490"/>
          <w:sz w:val="21"/>
          <w:szCs w:val="21"/>
        </w:rPr>
        <w:t xml:space="preserve">$19,112.50 ex-GST</w:t>
      </w:r>
    </w:p>
    <w:p>
      <w:pPr>
        <w:pBdr>
          <w:left w:val="single" w:color="008490" w:sz="18" w:space="12"/>
        </w:pBdr>
        <w:shd w:fill="EAF4F5" w:val="clear"/>
        <w:spacing w:after="120" w:before="40" w:line="264"/>
      </w:pPr>
      <w:r>
        <w:rPr>
          <w:b/>
          <w:bCs/>
          <w:color w:val="1A1A1A"/>
          <w:sz w:val="21"/>
          <w:szCs w:val="21"/>
        </w:rPr>
        <w:t xml:space="preserve">Under your cap. </w:t>
      </w:r>
      <w:r>
        <w:rPr>
          <w:color w:val="1A1A1A"/>
          <w:sz w:val="21"/>
          <w:szCs w:val="21"/>
        </w:rPr>
        <w:t xml:space="preserve">You said Content Type would not exceed $30,000. The calculated build comes to </w:t>
      </w:r>
      <w:r>
        <w:rPr>
          <w:b/>
          <w:bCs/>
          <w:color w:val="1A1A1A"/>
          <w:sz w:val="21"/>
          <w:szCs w:val="21"/>
        </w:rPr>
        <w:t xml:space="preserve">$19,112.50</w:t>
      </w:r>
      <w:r>
        <w:rPr>
          <w:color w:val="1A1A1A"/>
          <w:sz w:val="21"/>
          <w:szCs w:val="21"/>
        </w:rPr>
        <w:t xml:space="preserve"> ex-GST - $10,887.50 (36%) under the cap.</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2.  Class-selection guidance</w:t>
      </w:r>
    </w:p>
    <w:p>
      <w:pPr>
        <w:spacing w:after="80" w:before="0" w:line="264"/>
      </w:pPr>
      <w:r>
        <w:rPr>
          <w:color w:val="1A1A1A"/>
          <w:sz w:val="21"/>
          <w:szCs w:val="21"/>
        </w:rPr>
        <w:t xml:space="preserve">Multi-class / composite selection guidance - the flow shown when 2+ classes at different levels are selected.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200"/>
        <w:gridCol w:w="1826"/>
      </w:tblGrid>
      <w:tr>
        <w:trPr>
          <w:tblHeader/>
        </w:trPr>
        <w:tc>
          <w:tcPr>
            <w:tcW w:type="dxa" w:w="3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Discipline</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Hours</w:t>
            </w:r>
          </w:p>
        </w:tc>
        <w:tc>
          <w:tcPr>
            <w:tcW w:type="dxa" w:w="22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Hourly rate</w:t>
            </w:r>
          </w:p>
        </w:tc>
        <w:tc>
          <w:tcPr>
            <w:tcW w:type="dxa" w:w="18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Subtotal</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UX / Design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$100.00/hr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$200.00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Frontend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10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$106.25/hr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$1,062.50</w:t>
            </w:r>
          </w:p>
        </w:tc>
      </w:tr>
      <w:tr>
        <w:tc>
          <w:tcPr>
            <w:tcW w:type="dxa" w:w="36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sz w:val="19"/>
                <w:szCs w:val="19"/>
              </w:rPr>
              <w:t xml:space="preserve">Backend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4 h</w:t>
            </w:r>
          </w:p>
        </w:tc>
        <w:tc>
          <w:tcPr>
            <w:tcW w:type="dxa" w:w="22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$112.50/hr</w:t>
            </w:r>
          </w:p>
        </w:tc>
        <w:tc>
          <w:tcPr>
            <w:tcW w:type="dxa" w:w="18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9"/>
                <w:szCs w:val="19"/>
              </w:rPr>
              <w:t xml:space="preserve">$450.00</w:t>
            </w:r>
          </w:p>
        </w:tc>
      </w:tr>
      <w:tr>
        <w:tc>
          <w:tcPr>
            <w:tcW w:type="dxa" w:w="36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sz w:val="19"/>
                <w:szCs w:val="19"/>
              </w:rPr>
              <w:t xml:space="preserve">Product Mgmt / BA</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2 h</w:t>
            </w:r>
          </w:p>
        </w:tc>
        <w:tc>
          <w:tcPr>
            <w:tcW w:type="dxa" w:w="22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$93.75/hr</w:t>
            </w:r>
          </w:p>
        </w:tc>
        <w:tc>
          <w:tcPr>
            <w:tcW w:type="dxa" w:w="18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9"/>
                <w:szCs w:val="19"/>
              </w:rPr>
              <w:t xml:space="preserve">$187.50</w:t>
            </w:r>
          </w:p>
        </w:tc>
      </w:tr>
    </w:tbl>
    <w:p>
      <w:pPr>
        <w:pStyle w:val="Heading1"/>
        <w:pageBreakBefore/>
        <w:pBdr>
          <w:bottom w:val="single" w:color="008490" w:sz="6" w:space="4"/>
        </w:pBdr>
        <w:spacing w:after="120" w:before="60"/>
      </w:pPr>
      <w:r>
        <w:rPr>
          <w:rFonts w:ascii="Arial" w:cs="Arial" w:eastAsia="Arial" w:hAnsi="Arial"/>
          <w:b/>
          <w:bCs/>
          <w:color w:val="008490"/>
          <w:sz w:val="26"/>
          <w:szCs w:val="26"/>
        </w:rPr>
        <w:t xml:space="preserve">3.  Related defect fixes - no charge</w:t>
      </w:r>
    </w:p>
    <w:p>
      <w:pPr>
        <w:spacing w:after="80" w:before="0" w:line="264"/>
      </w:pPr>
      <w:r>
        <w:rPr>
          <w:color w:val="1A1A1A"/>
          <w:sz w:val="21"/>
          <w:szCs w:val="21"/>
        </w:rPr>
        <w:t xml:space="preserve">The genuine defects in the class-selection flow are fixed free of charge under the warranty:</w:t>
      </w:r>
    </w:p>
    <w:p>
      <w:pPr>
        <w:pStyle w:val="ListParagraph"/>
        <w:numPr>
          <w:ilvl w:val="0"/>
          <w:numId w:val="2"/>
        </w:numPr>
        <w:spacing w:after="60" w:line="264"/>
      </w:pPr>
      <w:r>
        <w:rPr>
          <w:color w:val="1A1A1A"/>
          <w:sz w:val="21"/>
          <w:szCs w:val="21"/>
        </w:rPr>
        <w:t xml:space="preserve">Teach Lessons - fix the blank-state and the “Back to lesson” loop</w:t>
      </w:r>
    </w:p>
    <w:p>
      <w:pPr>
        <w:pStyle w:val="ListParagraph"/>
        <w:numPr>
          <w:ilvl w:val="0"/>
          <w:numId w:val="2"/>
        </w:numPr>
        <w:spacing w:after="60" w:line="264"/>
      </w:pPr>
      <w:r>
        <w:rPr>
          <w:color w:val="1A1A1A"/>
          <w:sz w:val="21"/>
          <w:szCs w:val="21"/>
        </w:rPr>
        <w:t xml:space="preserve">Lesson recommendation - fix mixed-level resolution and the list cap</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900"/>
        <w:gridCol w:w="1600"/>
        <w:gridCol w:w="1526"/>
      </w:tblGrid>
      <w:tr>
        <w:trPr>
          <w:tblHeader/>
        </w:trPr>
        <w:tc>
          <w:tcPr>
            <w:tcW w:type="dxa" w:w="59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6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c>
          <w:tcPr>
            <w:tcW w:type="dxa" w:w="15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
            </w:r>
          </w:p>
        </w:tc>
      </w:tr>
      <w:tr>
        <w:tc>
          <w:tcPr>
            <w:tcW w:type="dxa" w:w="590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color w:val="1A1A1A"/>
                <w:sz w:val="21"/>
                <w:szCs w:val="21"/>
              </w:rPr>
              <w:t xml:space="preserve">Content Type</w:t>
            </w:r>
          </w:p>
        </w:tc>
        <w:tc>
          <w:tcPr>
            <w:tcW w:type="dxa" w:w="160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sz w:val="19"/>
                <w:szCs w:val="19"/>
              </w:rPr>
              <w:t xml:space="preserve">$19,112.50</w:t>
            </w:r>
          </w:p>
        </w:tc>
      </w:tr>
      <w:tr>
        <w:tc>
          <w:tcPr>
            <w:tcW w:type="dxa" w:w="590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color w:val="1A1A1A"/>
                <w:sz w:val="21"/>
                <w:szCs w:val="21"/>
              </w:rPr>
              <w:t xml:space="preserve">Class-selection guidance</w:t>
            </w:r>
          </w:p>
        </w:tc>
        <w:tc>
          <w:tcPr>
            <w:tcW w:type="dxa" w:w="160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sz w:val="19"/>
                <w:szCs w:val="19"/>
              </w:rPr>
              <w:t xml:space="preserve">$1,900.00</w:t>
            </w:r>
          </w:p>
        </w:tc>
      </w:tr>
      <w:tr>
        <w:tc>
          <w:tcPr>
            <w:tcW w:type="dxa" w:w="590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color w:val="1A1A1A"/>
                <w:sz w:val="21"/>
                <w:szCs w:val="21"/>
              </w:rPr>
              <w:t xml:space="preserve">Defect fixes</w:t>
            </w:r>
          </w:p>
        </w:tc>
        <w:tc>
          <w:tcPr>
            <w:tcW w:type="dxa" w:w="160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b/>
                <w:bCs/>
                <w:color w:val="1B7A3D"/>
                <w:sz w:val="19"/>
                <w:szCs w:val="19"/>
              </w:rPr>
              <w:t xml:space="preserve">free</w:t>
            </w:r>
          </w:p>
        </w:tc>
      </w:tr>
      <w:tr>
        <w:tc>
          <w:tcPr>
            <w:tcW w:type="dxa" w:w="590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b/>
                <w:bCs/>
                <w:color w:val="1A1A1A"/>
                <w:sz w:val="21"/>
                <w:szCs w:val="21"/>
              </w:rPr>
              <w:t xml:space="preserve">Together (if both commissioned)</w:t>
            </w:r>
          </w:p>
        </w:tc>
        <w:tc>
          <w:tcPr>
            <w:tcW w:type="dxa" w:w="160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b/>
                <w:bCs/>
                <w:color w:val="008490"/>
                <w:sz w:val="20"/>
                <w:szCs w:val="20"/>
              </w:rPr>
              <w:t xml:space="preserve">$21,012.50</w:t>
            </w:r>
          </w:p>
        </w:tc>
      </w:tr>
      <w:tr>
        <w:tc>
          <w:tcPr>
            <w:tcW w:type="dxa" w:w="590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r>
              <w:rPr>
                <w:b/>
                <w:bCs/>
                <w:color w:val="1A1A1A"/>
                <w:sz w:val="21"/>
                <w:szCs w:val="21"/>
              </w:rPr>
              <w:t xml:space="preserve">Total inc GST</w:t>
            </w:r>
          </w:p>
        </w:tc>
        <w:tc>
          <w:tcPr>
            <w:tcW w:type="dxa" w:w="1600"/>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sz w:val="19"/>
                <w:szCs w:val="19"/>
              </w:rPr>
              <w:t xml:space="preserve"/>
            </w:r>
          </w:p>
        </w:tc>
        <w:tc>
          <w:tcPr>
            <w:tcW w:type="dxa" w:w="1526"/>
            <w:tcBorders>
              <w:top w:val="single" w:color="C9C9C9" w:sz="1"/>
              <w:left w:val="single" w:color="C9C9C9" w:sz="1"/>
              <w:bottom w:val="single" w:color="C9C9C9" w:sz="1"/>
              <w:right w:val="single" w:color="C9C9C9" w:sz="1"/>
            </w:tcBorders>
            <w:shd w:fill="FBF3E5" w:val="clear"/>
            <w:tcMar>
              <w:top w:type="dxa" w:w="50"/>
              <w:left w:type="dxa" w:w="110"/>
              <w:bottom w:type="dxa" w:w="50"/>
              <w:right w:type="dxa" w:w="110"/>
            </w:tcMar>
            <w:vAlign w:val="center"/>
          </w:tcPr>
          <w:p>
            <w:pPr>
              <w:jc w:val="right"/>
            </w:pPr>
            <w:r>
              <w:rPr>
                <w:b/>
                <w:bCs/>
                <w:sz w:val="20"/>
                <w:szCs w:val="20"/>
              </w:rPr>
              <w:t xml:space="preserve">$23,113.75</w:t>
            </w:r>
          </w:p>
        </w:tc>
      </w:tr>
    </w:tbl>
    <w:p>
      <w:pPr>
        <w:pStyle w:val="Heading1"/>
        <w:pageBreakBefore/>
        <w:pBdr>
          <w:bottom w:val="single" w:color="008490" w:sz="6" w:space="4"/>
        </w:pBdr>
        <w:spacing w:after="120" w:before="60"/>
      </w:pPr>
      <w:r>
        <w:rPr>
          <w:rFonts w:ascii="Arial" w:cs="Arial" w:eastAsia="Arial" w:hAnsi="Arial"/>
          <w:b/>
          <w:bCs/>
          <w:color w:val="008490"/>
          <w:sz w:val="26"/>
          <w:szCs w:val="26"/>
        </w:rPr>
        <w:t xml:space="preserve">Work breakdown - what each discipline does</w:t>
      </w:r>
    </w:p>
    <w:p>
      <w:pPr>
        <w:pBdr>
          <w:left w:val="single" w:color="008490" w:sz="18" w:space="12"/>
        </w:pBdr>
        <w:shd w:fill="EAF4F5" w:val="clear"/>
        <w:spacing w:after="120" w:before="40" w:line="264"/>
      </w:pPr>
      <w:r>
        <w:rPr>
          <w:b/>
          <w:bCs/>
          <w:color w:val="1A1A1A"/>
          <w:sz w:val="21"/>
          <w:szCs w:val="21"/>
        </w:rPr>
        <w:t xml:space="preserve">Indicative basis of estimate. </w:t>
      </w:r>
      <w:r>
        <w:rPr>
          <w:color w:val="1A1A1A"/>
          <w:sz w:val="21"/>
          <w:szCs w:val="21"/>
        </w:rPr>
        <w:t xml:space="preserve">This is the engineering work behind the fixed price - itemised task by task so the effort is visible. It is not a deliverables checklist, tasks are not individually severable from the fixed price, and it does not change the acceptance basis; the deliverable is the working module described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UX / Design</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Wireframe Add/Edit Content Type sheets incl. dynamic level-name rows and in-use warnings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Design per-type content tree switcher layout consistent with existing content-section admin UI</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Design mixed-class guidance panel with 3 options (Back / one class / compromise lesson) + draft copy</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Spec empty, loading and error states for content-type screens and class-selection guidance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Produce dark-mode and mobile variants for new sheets, dropdown and guidance panel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Run design QA against the staging build and file a visual fix list</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18 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Frontend</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entities/content-types/api/endpoints.ts with TanStack Query hooks (list/create/update/delete)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entities/content-types/model/keys.ts query keys with cache invalidation on mutations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add-content-type-sheet.tsx in entities/dashboard/ui/admin/sections/content (Add New flow)</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dynamic level-name field array with add/remove/reorder and count-match validation</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edit-content-type-sheet.tsx with rename flow and in-use warning states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Content Type switcher to content-section.tsx so the admin tree renders per selected type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Refactor stage-detail-section.tsx + topic-detail-section.tsx off the hardcoded stage tree to type levels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8</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Generalise add-stage-sheet.tsx and add-topic-drawer.tsx to accept a contentTypeId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Rewire topic-slides-drawer.tsx lesson authoring/upload flow to per-type topics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Content Type dropdown (defaulting to 'Default') to add-school-wizard.tsx beside state/sector selects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content type column and filter to the schools-section.tsx admin table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Scope school resources pages to the school's content type via tree endpoint contentTypeId param</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useStages store (entities/stages/model/store.ts) to key cached stages by contentTypeId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mixed-level detection from class yearCodes in lesson-wizard-classes.tsx selection state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never-blank guidance panel: message + Back / pick one class / compromise lesson actions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Wire compromise-lesson action into lesson-wizard-recommendation.tsx and prefill wizard state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loading skeletons and error/empty states across new content-type admin screens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empty state for a type with no levels/topics yet ('Add your first level') in content-section.tsx</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vitest tests for the mixed-level detection helper (types/lesson-wizard)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vitest tests for add-content-type-sheet level-name validation states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Run responsive + dark-mode pass on new sheets, school dropdown and guidance panel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Feature-gate the Content Types admin nav entry via PAGE_FEATURES (lib/feature-keys.ts)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80 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Backend</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content_types table (name, level_count, level_names jsonb, is_default) to drizzle/schema.ts + migration</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Add content_type_id FK to schools in drizzle/schema.ts; backfill migration maps existing schools to Default</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Migrate curriculum_stages + certification_courses under content_type_id, seeding the two hardcoded trees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9</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RLS policies for content_types (platform-admin write, authenticated read) in drizzle migration 0028</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Wire content_types relations into drizzle/relations.ts and regenerate DB types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Build server/content-types/content-types.repo.ts with CRUD and level-list queries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Build server/content-types/content-types.service.ts (unique names, Default protection, in-use delete guard)</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server/content-types/content-types.validators.ts zod schemas (level count must match level names)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Implement GET/POST app/api/admin/content-types/route.ts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Implement PATCH/DELETE app/api/admin/content-types/[id]/route.ts returning 409 when type is in use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Gate content-type admin routes with checkFeatureAccess (server/features/features.service.ts)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Generalise server/curriculum repo + service to filter stages/topics by contentTypeId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7</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Extend app/api/curriculum/stages and topics routes to accept a contentTypeId query param</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Extend school create: contentTypeId in server/school/school.validators.ts + POST app/api/schools/route.ts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Scope resources by type: content_type_id filters in server/resources/resources.repo.ts + tree route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Extend app/api/topic-slides/bulk-save/route.ts to resolve topics within the active content type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Add compromise-lesson query to app/api/lessons/recommendations/route.ts for mixed-level class sets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6</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vitest unit tests for content-types.service (validation, Default fallback, delete guard)</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vitest tests for curriculum repo contentTypeId filtering and legacy-tree backfill</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Write scripts/seed-content-types.ts registering Default plus client types with level names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76 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DevOps / Infra</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Apply content-type migrations + backfill to staging and production Supabase; verify row counts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Smoke-check content_types RLS post-deploy and monitor new API routes for error spikes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1.5</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4 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26"/>
        <w:gridCol w:w="1400"/>
      </w:tblGrid>
      <w:tr>
        <w:trPr>
          <w:tblHeader/>
        </w:trPr>
        <w:tc>
          <w:tcPr>
            <w:tcW w:type="dxa" w:w="7626"/>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Product Mgmt / BA</w:t>
            </w:r>
          </w:p>
        </w:tc>
        <w:tc>
          <w:tcPr>
            <w:tcW w:type="dxa" w:w="1400"/>
            <w:tcBorders>
              <w:top w:val="single" w:color="C9C9C9" w:sz="1"/>
              <w:left w:val="single" w:color="C9C9C9" w:sz="1"/>
              <w:bottom w:val="single" w:color="C9C9C9" w:sz="1"/>
              <w:right w:val="single" w:color="C9C9C9" w:sz="1"/>
            </w:tcBorders>
            <w:shd w:fill="00626B" w:val="clear"/>
            <w:tcMar>
              <w:top w:type="dxa" w:w="60"/>
              <w:left w:type="dxa" w:w="110"/>
              <w:bottom w:type="dxa" w:w="60"/>
              <w:right w:type="dxa" w:w="110"/>
            </w:tcMar>
            <w:vAlign w:val="center"/>
          </w:tcPr>
          <w:p>
            <w:r>
              <w:rPr>
                <w:b/>
                <w:bCs/>
                <w:color w:val="FFFFFF"/>
                <w:sz w:val="18"/>
                <w:szCs w:val="18"/>
              </w:rPr>
              <w:t xml:space="preserve">Est. hours</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Confirm content-type rules with client: level counts, naming, and Default mapping for existing schools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2.5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Collect client's content types, level names and lesson lists as seed data</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Write test plan: type CRUD, school default, per-type upload/resources, mixed-class guidance paths</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3.5</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Coordinate client UAT: add a school, author per-type lessons, trigger mixed-class guidance</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4</w:t>
            </w:r>
          </w:p>
        </w:tc>
      </w:tr>
      <w:tr>
        <w:tc>
          <w:tcPr>
            <w:tcW w:type="dxa" w:w="7626"/>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r>
              <w:rPr>
                <w:color w:val="1A1A1A"/>
                <w:sz w:val="18"/>
                <w:szCs w:val="18"/>
              </w:rPr>
              <w:t xml:space="preserve">Triage UAT defects and track retest through the fix cycle</w:t>
            </w:r>
          </w:p>
        </w:tc>
        <w:tc>
          <w:tcPr>
            <w:tcW w:type="dxa" w:w="1400"/>
            <w:tcBorders>
              <w:top w:val="single" w:color="C9C9C9" w:sz="1"/>
              <w:left w:val="single" w:color="C9C9C9" w:sz="1"/>
              <w:bottom w:val="single" w:color="C9C9C9" w:sz="1"/>
              <w:right w:val="single" w:color="C9C9C9" w:sz="1"/>
            </w:tcBorders>
            <w:tcMar>
              <w:top w:type="dxa" w:w="50"/>
              <w:left w:type="dxa" w:w="110"/>
              <w:bottom w:type="dxa" w:w="50"/>
              <w:right w:type="dxa" w:w="110"/>
            </w:tcMar>
            <w:vAlign w:val="center"/>
          </w:tcPr>
          <w:p>
            <w:pPr>
              <w:jc w:val="right"/>
            </w:pPr>
            <w:r>
              <w:rPr>
                <w:sz w:val="18"/>
                <w:szCs w:val="18"/>
              </w:rPr>
              <w:t xml:space="preserve">3</w:t>
            </w:r>
          </w:p>
        </w:tc>
      </w:tr>
      <w:tr>
        <w:tc>
          <w:tcPr>
            <w:tcW w:type="dxa" w:w="7626"/>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r>
              <w:rPr>
                <w:color w:val="1A1A1A"/>
                <w:sz w:val="18"/>
                <w:szCs w:val="18"/>
              </w:rPr>
              <w:t xml:space="preserve">Obtain acceptance sign-off and write Content Type release notes</w:t>
            </w:r>
          </w:p>
        </w:tc>
        <w:tc>
          <w:tcPr>
            <w:tcW w:type="dxa" w:w="1400"/>
            <w:tcBorders>
              <w:top w:val="single" w:color="C9C9C9" w:sz="1"/>
              <w:left w:val="single" w:color="C9C9C9" w:sz="1"/>
              <w:bottom w:val="single" w:color="C9C9C9" w:sz="1"/>
              <w:right w:val="single" w:color="C9C9C9" w:sz="1"/>
            </w:tcBorders>
            <w:shd w:fill="EEF6F7" w:val="clear"/>
            <w:tcMar>
              <w:top w:type="dxa" w:w="50"/>
              <w:left w:type="dxa" w:w="110"/>
              <w:bottom w:type="dxa" w:w="50"/>
              <w:right w:type="dxa" w:w="110"/>
            </w:tcMar>
            <w:vAlign w:val="center"/>
          </w:tcPr>
          <w:p>
            <w:pPr>
              <w:jc w:val="right"/>
            </w:pPr>
            <w:r>
              <w:rPr>
                <w:sz w:val="18"/>
                <w:szCs w:val="18"/>
              </w:rPr>
              <w:t xml:space="preserve">2</w:t>
            </w:r>
          </w:p>
        </w:tc>
      </w:tr>
      <w:tr>
        <w:tc>
          <w:tcPr>
            <w:tcW w:type="dxa" w:w="7626"/>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r>
              <w:rPr>
                <w:b/>
                <w:bCs/>
                <w:color w:val="1A1A1A"/>
                <w:sz w:val="21"/>
                <w:szCs w:val="21"/>
              </w:rPr>
              <w:t xml:space="preserve">Subtotal</w:t>
            </w:r>
          </w:p>
        </w:tc>
        <w:tc>
          <w:tcPr>
            <w:tcW w:type="dxa" w:w="1400"/>
            <w:tcBorders>
              <w:top w:val="single" w:color="C9C9C9" w:sz="1"/>
              <w:left w:val="single" w:color="C9C9C9" w:sz="1"/>
              <w:bottom w:val="single" w:color="C9C9C9" w:sz="1"/>
              <w:right w:val="single" w:color="C9C9C9" w:sz="1"/>
            </w:tcBorders>
            <w:shd w:fill="E9F4EC" w:val="clear"/>
            <w:tcMar>
              <w:top w:type="dxa" w:w="50"/>
              <w:left w:type="dxa" w:w="110"/>
              <w:bottom w:type="dxa" w:w="50"/>
              <w:right w:type="dxa" w:w="110"/>
            </w:tcMar>
            <w:vAlign w:val="center"/>
          </w:tcPr>
          <w:p>
            <w:pPr>
              <w:jc w:val="right"/>
            </w:pPr>
            <w:r>
              <w:rPr>
                <w:b/>
                <w:bCs/>
                <w:color w:val="008490"/>
                <w:sz w:val="18"/>
                <w:szCs w:val="18"/>
              </w:rPr>
              <w:t xml:space="preserve">18 h</w:t>
            </w:r>
          </w:p>
        </w:tc>
      </w:tr>
    </w:tbl>
    <w:p>
      <w:pPr>
        <w:spacing w:after="100"/>
      </w:pP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Delivery &amp; terms</w:t>
      </w:r>
    </w:p>
    <w:p>
      <w:pPr>
        <w:pStyle w:val="ListParagraph"/>
        <w:numPr>
          <w:ilvl w:val="0"/>
          <w:numId w:val="2"/>
        </w:numPr>
        <w:spacing w:after="60" w:line="264"/>
      </w:pPr>
      <w:r>
        <w:rPr>
          <w:b/>
          <w:bCs/>
          <w:color w:val="1A1A1A"/>
          <w:sz w:val="21"/>
          <w:szCs w:val="21"/>
        </w:rPr>
        <w:t xml:space="preserve">Indicative delivery: </w:t>
      </w:r>
      <w:r>
        <w:rPr>
          <w:color w:val="1A1A1A"/>
          <w:sz w:val="21"/>
          <w:szCs w:val="21"/>
        </w:rPr>
        <w:t xml:space="preserve">~1.5 weeks from commissioning. Per your note, Thursday Island cannot start until the Content Type is operational.</w:t>
      </w:r>
    </w:p>
    <w:p>
      <w:pPr>
        <w:pStyle w:val="ListParagraph"/>
        <w:numPr>
          <w:ilvl w:val="0"/>
          <w:numId w:val="2"/>
        </w:numPr>
        <w:spacing w:after="60" w:line="264"/>
      </w:pPr>
      <w:r>
        <w:rPr>
          <w:b/>
          <w:bCs/>
          <w:color w:val="1A1A1A"/>
          <w:sz w:val="21"/>
          <w:szCs w:val="21"/>
        </w:rPr>
        <w:t xml:space="preserve">Payment: </w:t>
      </w:r>
      <w:r>
        <w:rPr>
          <w:color w:val="1A1A1A"/>
          <w:sz w:val="21"/>
          <w:szCs w:val="21"/>
        </w:rPr>
        <w:t xml:space="preserve">40% deposit invoiced on commissioning (this week), balance on delivery. Invoiced by Intradark Pty Ltd (+GST).</w:t>
      </w:r>
    </w:p>
    <w:p>
      <w:pPr>
        <w:pStyle w:val="ListParagraph"/>
        <w:numPr>
          <w:ilvl w:val="0"/>
          <w:numId w:val="2"/>
        </w:numPr>
        <w:spacing w:after="60" w:line="264"/>
      </w:pPr>
      <w:r>
        <w:rPr>
          <w:b/>
          <w:bCs/>
          <w:color w:val="1A1A1A"/>
          <w:sz w:val="21"/>
          <w:szCs w:val="21"/>
        </w:rPr>
        <w:t xml:space="preserve">Dependencies: </w:t>
      </w:r>
      <w:r>
        <w:rPr>
          <w:color w:val="1A1A1A"/>
          <w:sz w:val="21"/>
          <w:szCs w:val="21"/>
        </w:rPr>
        <w:t xml:space="preserve">None - fully standalone. From your side: the Thursday Island lesson content, to load once the system is operational.</w:t>
      </w:r>
    </w:p>
    <w:p>
      <w:pPr>
        <w:pStyle w:val="Heading1"/>
        <w:pageBreakBefore/>
        <w:pBdr>
          <w:bottom w:val="single" w:color="008490" w:sz="6" w:space="4"/>
        </w:pBdr>
        <w:spacing w:after="120" w:before="60"/>
      </w:pPr>
      <w:r>
        <w:rPr>
          <w:rFonts w:ascii="Arial" w:cs="Arial" w:eastAsia="Arial" w:hAnsi="Arial"/>
          <w:b/>
          <w:bCs/>
          <w:color w:val="008490"/>
          <w:sz w:val="26"/>
          <w:szCs w:val="26"/>
        </w:rPr>
        <w:t xml:space="preserve">Appendix - your request, in your words</w:t>
      </w:r>
    </w:p>
    <w:p>
      <w:pPr>
        <w:spacing w:after="80" w:before="0" w:line="264"/>
      </w:pPr>
      <w:r>
        <w:rPr>
          <w:i/>
          <w:iCs/>
          <w:color w:val="5A5A5A"/>
          <w:sz w:val="19"/>
          <w:szCs w:val="19"/>
        </w:rPr>
        <w:t xml:space="preserve">Excerpts from your document of 22 June 2026 that this quote responds to:</w:t>
      </w:r>
    </w:p>
    <w:p>
      <w:pPr>
        <w:pBdr>
          <w:left w:val="single" w:color="C9C9C9" w:sz="14" w:space="10"/>
        </w:pBdr>
        <w:spacing w:after="100" w:before="40" w:line="258"/>
        <w:ind w:left="280"/>
      </w:pPr>
      <w:r>
        <w:rPr>
          <w:i/>
          <w:iCs/>
          <w:color w:val="5A5A5A"/>
          <w:sz w:val="19"/>
          <w:szCs w:val="19"/>
        </w:rPr>
        <w:t xml:space="preserve">“This facility will allow us to select other Content Types (Lessons) other than the current default lessons. These Content Types will need to firstly be added (name of Content Type, how many levels and names of levels) and once added, we would then need to create and upload the lessons.”</w:t>
      </w:r>
    </w:p>
    <w:p>
      <w:pPr>
        <w:pBdr>
          <w:left w:val="single" w:color="C9C9C9" w:sz="14" w:space="10"/>
        </w:pBdr>
        <w:spacing w:after="100" w:before="40" w:line="258"/>
        <w:ind w:left="280"/>
      </w:pPr>
      <w:r>
        <w:rPr>
          <w:i/>
          <w:iCs/>
          <w:color w:val="5A5A5A"/>
          <w:sz w:val="19"/>
          <w:szCs w:val="19"/>
        </w:rPr>
        <w:t xml:space="preserve">“We should NEVER get a blank screen. There should always be a message to inform the User as to “why” their selection is unacceptable and what their options are.”</w:t>
      </w:r>
    </w:p>
    <w:p>
      <w:pPr>
        <w:pBdr>
          <w:left w:val="single" w:color="C9C9C9" w:sz="14" w:space="10"/>
        </w:pBdr>
        <w:spacing w:after="100" w:before="40" w:line="258"/>
        <w:ind w:left="280"/>
      </w:pPr>
      <w:r>
        <w:rPr>
          <w:i/>
          <w:iCs/>
          <w:color w:val="5A5A5A"/>
          <w:sz w:val="19"/>
          <w:szCs w:val="19"/>
        </w:rPr>
        <w:t xml:space="preserve">“My suggestion would be something like this for whenever an AP Teacher selects two or more classes at different levels/lessons.”</w:t>
      </w:r>
    </w:p>
    <w:p>
      <w:pPr>
        <w:spacing w:after="200" w:before="120" w:line="264"/>
      </w:pPr>
      <w:r>
        <w:rPr>
          <w:color w:val="1A1A1A"/>
          <w:sz w:val="21"/>
          <w:szCs w:val="21"/>
        </w:rPr>
        <w:t xml:space="preserve">Respect always,</w:t>
      </w:r>
    </w:p>
    <w:p>
      <w:pPr>
        <w:spacing w:after="10" w:before="0" w:line="264"/>
      </w:pPr>
      <w:r>
        <w:rPr>
          <w:b/>
          <w:bCs/>
          <w:color w:val="1A1A1A"/>
          <w:sz w:val="22"/>
          <w:szCs w:val="22"/>
        </w:rPr>
        <w:t xml:space="preserve">Aaron J. Girton</w:t>
      </w:r>
    </w:p>
    <w:p>
      <w:pPr>
        <w:spacing w:after="10" w:before="0" w:line="264"/>
      </w:pPr>
      <w:r>
        <w:rPr>
          <w:i/>
          <w:iCs/>
          <w:color w:val="5A5A5A"/>
          <w:sz w:val="19"/>
          <w:szCs w:val="19"/>
        </w:rPr>
        <w:t xml:space="preserve">Director, Intradark Pty Ltd</w:t>
      </w:r>
    </w:p>
    <w:p>
      <w:pPr>
        <w:spacing w:after="160" w:before="0" w:line="264"/>
      </w:pPr>
      <w:r>
        <w:rPr>
          <w:color w:val="5A5A5A"/>
          <w:sz w:val="19"/>
          <w:szCs w:val="19"/>
        </w:rPr>
        <w:t xml:space="preserve">agirton@intradark.com</w:t>
      </w:r>
    </w:p>
    <w:p>
      <w:pPr>
        <w:spacing w:after="0"/>
      </w:pPr>
      <w:r>
        <w:drawing>
          <wp:inline distT="0" distB="0" distL="0" distR="0">
            <wp:extent cx="1333500" cy="18097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80975"/>
                    </a:xfrm>
                    <a:prstGeom prst="rect">
                      <a:avLst/>
                    </a:prstGeom>
                  </pic:spPr>
                </pic:pic>
              </a:graphicData>
            </a:graphic>
          </wp:inline>
        </w:drawing>
      </w:r>
    </w:p>
    <w:sectPr>
      <w:headerReference w:type="default" r:id="rId7"/>
      <w:headerReference w:type="first" r:id="rId8"/>
      <w:footerReference w:type="default" r:id="rId9"/>
      <w:footerReference w:type="first" r:id="rId10"/>
      <w:pgSz w:w="11906" w:h="16838" w:orient="portrait"/>
      <w:pgMar w:top="130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M1 Content Type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9C9" w:sz="4" w:space="6"/>
      </w:pBdr>
      <w:tabs>
        <w:tab w:val="right" w:pos="9026"/>
      </w:tabs>
    </w:pPr>
    <w:r>
      <w:rPr>
        <w:color w:val="5A5A5A"/>
        <w:sz w:val="16"/>
        <w:szCs w:val="16"/>
      </w:rPr>
      <w:t xml:space="preserve">Intradark Pty Ltd  ·  M1 Content Type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drawing>
        <wp:inline distT="0" distB="0" distL="0" distR="0">
          <wp:extent cx="904875" cy="123825"/>
          <wp:effectExtent t="0" r="0" b="0" l="0"/>
          <wp:docPr id="1" name="intradark-logo" descr="Intradark logo" title="Intrad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1238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08490"/>
      </w:rPr>
    </w:lvl>
  </w:abstractNum>
  <w:abstractNum w:abstractNumId="3" w15:restartNumberingAfterBreak="0">
    <w:multiLevelType w:val="hybridMultilevel"/>
    <w:lvl w:ilvl="0" w15:tentative="1">
      <w:start w:val="1"/>
      <w:numFmt w:val="bullet"/>
      <w:lvlText w:val="□"/>
      <w:lvlJc w:val="left"/>
      <w:pPr>
        <w:ind w:left="500" w:hanging="280"/>
      </w:pPr>
      <w:rPr>
        <w:color w:val="00849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8490"/>
      <w:sz w:val="26"/>
      <w:szCs w:val="26"/>
    </w:rPr>
  </w:style>
  <w:style w:type="paragraph" w:styleId="Heading2">
    <w:name w:val="Heading 2"/>
    <w:basedOn w:val="Normal"/>
    <w:next w:val="Normal"/>
    <w:qFormat/>
    <w:pPr>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8f661d8ac06033ac8477e348f4e9219a04e47d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8f661d8ac06033ac8477e348f4e9219a04e47d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M1 Content Type - Quote</dc:title>
  <dc:creator>Intradark</dc:creator>
  <cp:lastModifiedBy>Un-named</cp:lastModifiedBy>
  <cp:revision>1</cp:revision>
  <dcterms:created xsi:type="dcterms:W3CDTF">2026-07-05T11:22:22.816Z</dcterms:created>
  <dcterms:modified xsi:type="dcterms:W3CDTF">2026-07-05T11:22:22.816Z</dcterms:modified>
</cp:coreProperties>
</file>

<file path=docProps/custom.xml><?xml version="1.0" encoding="utf-8"?>
<Properties xmlns="http://schemas.openxmlformats.org/officeDocument/2006/custom-properties" xmlns:vt="http://schemas.openxmlformats.org/officeDocument/2006/docPropsVTypes"/>
</file>