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1952625" cy="266700"/>
            <wp:effectExtent t="0" r="0" b="0" l="0"/>
            <wp:docPr id="1" name="intradark-logo" descr="Intradark logo" title="Intra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52625" cy="266700"/>
                    </a:xfrm>
                    <a:prstGeom prst="rect">
                      <a:avLst/>
                    </a:prstGeom>
                  </pic:spPr>
                </pic:pic>
              </a:graphicData>
            </a:graphic>
          </wp:inline>
        </w:drawing>
      </w:r>
    </w:p>
    <w:p>
      <w:pPr>
        <w:pBdr>
          <w:bottom w:val="single" w:color="008490" w:sz="10" w:space="6"/>
        </w:pBdr>
        <w:spacing w:after="60" w:before="80"/>
      </w:pPr>
      <w:r>
        <w:rPr>
          <w:i/>
          <w:iCs/>
          <w:color w:val="5A5A5A"/>
          <w:sz w:val="17"/>
          <w:szCs w:val="17"/>
        </w:rPr>
        <w:t xml:space="preserve">Intradark Pty Ltd  ·  ABN 38 696 182 457</w:t>
      </w:r>
    </w:p>
    <w:p>
      <w:pPr>
        <w:spacing w:after="40" w:before="220"/>
      </w:pPr>
      <w:r>
        <w:rPr>
          <w:rFonts w:ascii="Arial" w:cs="Arial" w:eastAsia="Arial" w:hAnsi="Arial"/>
          <w:b/>
          <w:bCs/>
          <w:color w:val="008490"/>
          <w:sz w:val="26"/>
          <w:szCs w:val="26"/>
        </w:rPr>
        <w:t xml:space="preserve">Quote - M2: Schedule Engine &amp; School Terms</w:t>
      </w:r>
    </w:p>
    <w:p>
      <w:pPr>
        <w:spacing w:after="160"/>
      </w:pPr>
      <w:r>
        <w:rPr>
          <w:i/>
          <w:iCs/>
          <w:color w:val="5A5A5A"/>
          <w:sz w:val="20"/>
          <w:szCs w:val="20"/>
        </w:rPr>
        <w:t xml:space="preserve">Bullyproof platform - new-functionality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To:</w:t>
            </w:r>
          </w:p>
        </w:tc>
        <w:tc>
          <w:tcPr>
            <w:tcW w:type="dxa" w:w="7526"/>
            <w:tcBorders>
              <w:top w:val="none"/>
              <w:left w:val="none"/>
              <w:bottom w:val="none"/>
              <w:right w:val="none"/>
            </w:tcBorders>
            <w:tcMar>
              <w:top w:type="dxa" w:w="26"/>
              <w:left w:type="dxa" w:w="0"/>
              <w:bottom w:type="dxa" w:w="26"/>
              <w:right w:type="dxa" w:w="0"/>
            </w:tcMar>
          </w:tcPr>
          <w:p>
            <w:r>
              <w:rPr>
                <w:b/>
                <w:bCs/>
                <w:color w:val="1A1A1A"/>
                <w:sz w:val="20"/>
                <w:szCs w:val="20"/>
              </w:rPr>
              <w:t xml:space="preserve">Glenn Rushton</w:t>
            </w:r>
            <w:r>
              <w:rPr>
                <w:color w:val="5A5A5A"/>
                <w:sz w:val="19"/>
                <w:szCs w:val="19"/>
              </w:rPr>
              <w:t xml:space="preserve">  -  Director, Amayda Pty Ltd</w:t>
            </w:r>
          </w:p>
        </w:tc>
      </w:tr>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From:</w:t>
            </w:r>
          </w:p>
        </w:tc>
        <w:tc>
          <w:tcPr>
            <w:tcW w:type="dxa" w:w="7526"/>
            <w:tcBorders>
              <w:top w:val="none"/>
              <w:left w:val="none"/>
              <w:bottom w:val="none"/>
              <w:right w:val="none"/>
            </w:tcBorders>
            <w:tcMar>
              <w:top w:type="dxa" w:w="26"/>
              <w:left w:type="dxa" w:w="0"/>
              <w:bottom w:type="dxa" w:w="26"/>
              <w:right w:type="dxa" w:w="0"/>
            </w:tcMar>
          </w:tcPr>
          <w:p>
            <w:r>
              <w:rPr>
                <w:color w:val="1A1A1A"/>
                <w:sz w:val="19"/>
                <w:szCs w:val="19"/>
              </w:rPr>
              <w:t xml:space="preserve">Aaron J. Girton, Intradark Pty Ltd</w:t>
            </w:r>
          </w:p>
        </w:tc>
      </w:tr>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Date:</w:t>
            </w:r>
          </w:p>
        </w:tc>
        <w:tc>
          <w:tcPr>
            <w:tcW w:type="dxa" w:w="7526"/>
            <w:tcBorders>
              <w:top w:val="none"/>
              <w:left w:val="none"/>
              <w:bottom w:val="none"/>
              <w:right w:val="none"/>
            </w:tcBorders>
            <w:tcMar>
              <w:top w:type="dxa" w:w="26"/>
              <w:left w:type="dxa" w:w="0"/>
              <w:bottom w:type="dxa" w:w="26"/>
              <w:right w:type="dxa" w:w="0"/>
            </w:tcMar>
          </w:tcPr>
          <w:p>
            <w:r>
              <w:rPr>
                <w:color w:val="1A1A1A"/>
                <w:sz w:val="19"/>
                <w:szCs w:val="19"/>
              </w:rPr>
              <w:t xml:space="preserve">29 June 2026</w:t>
            </w:r>
          </w:p>
        </w:tc>
      </w:tr>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Module:</w:t>
            </w:r>
          </w:p>
        </w:tc>
        <w:tc>
          <w:tcPr>
            <w:tcW w:type="dxa" w:w="7526"/>
            <w:tcBorders>
              <w:top w:val="none"/>
              <w:left w:val="none"/>
              <w:bottom w:val="none"/>
              <w:right w:val="none"/>
            </w:tcBorders>
            <w:tcMar>
              <w:top w:type="dxa" w:w="26"/>
              <w:left w:type="dxa" w:w="0"/>
              <w:bottom w:type="dxa" w:w="26"/>
              <w:right w:type="dxa" w:w="0"/>
            </w:tcMar>
          </w:tcPr>
          <w:p>
            <w:r>
              <w:rPr>
                <w:color w:val="1A1A1A"/>
                <w:sz w:val="19"/>
                <w:szCs w:val="19"/>
              </w:rPr>
              <w:t xml:space="preserve">M2 of 8 - commissionable independently</w:t>
            </w:r>
          </w:p>
        </w:tc>
      </w:tr>
    </w:tbl>
    <w:p>
      <w:pPr>
        <w:spacing w:after="60"/>
      </w:pPr>
    </w:p>
    <w:p>
      <w:pPr>
        <w:pStyle w:val="Heading1"/>
        <w:pBdr>
          <w:bottom w:val="single" w:color="008490" w:sz="6" w:space="4"/>
        </w:pBdr>
        <w:spacing w:after="120" w:before="300"/>
      </w:pPr>
      <w:r>
        <w:rPr>
          <w:rFonts w:ascii="Arial" w:cs="Arial" w:eastAsia="Arial" w:hAnsi="Arial"/>
          <w:b/>
          <w:bCs/>
          <w:color w:val="008490"/>
          <w:sz w:val="26"/>
          <w:szCs w:val="26"/>
        </w:rPr>
        <w:t xml:space="preserve">Scope</w:t>
      </w:r>
    </w:p>
    <w:p>
      <w:pPr>
        <w:spacing w:after="100" w:before="0" w:line="264"/>
      </w:pPr>
      <w:r>
        <w:rPr>
          <w:color w:val="1A1A1A"/>
          <w:sz w:val="21"/>
          <w:szCs w:val="21"/>
        </w:rPr>
        <w:t xml:space="preserve">The foundational module. A new per-state term-calendar system and program-year data model, and the calculation engine that turns lesson completions into an On/Ahead–Behind schedule status. Everything in the admin dashboard depends on this.</w:t>
      </w:r>
    </w:p>
    <w:p>
      <w:pPr>
        <w:pStyle w:val="Heading2"/>
        <w:spacing w:after="80" w:before="200"/>
      </w:pPr>
      <w:r>
        <w:rPr>
          <w:rFonts w:ascii="Arial" w:cs="Arial" w:eastAsia="Arial" w:hAnsi="Arial"/>
          <w:b/>
          <w:bCs/>
          <w:color w:val="1A1A1A"/>
          <w:sz w:val="22"/>
          <w:szCs w:val="22"/>
        </w:rPr>
        <w:t xml:space="preserve">What this module delivers</w:t>
      </w:r>
    </w:p>
    <w:p>
      <w:pPr>
        <w:pStyle w:val="ListParagraph"/>
        <w:numPr>
          <w:ilvl w:val="0"/>
          <w:numId w:val="2"/>
        </w:numPr>
        <w:spacing w:after="60" w:line="264"/>
      </w:pPr>
      <w:r>
        <w:rPr>
          <w:color w:val="1A1A1A"/>
          <w:sz w:val="21"/>
          <w:szCs w:val="21"/>
        </w:rPr>
        <w:t xml:space="preserve">Per-school schedule status indicator - On/Ahead, Slightly Behind, Behind</w:t>
      </w:r>
    </w:p>
    <w:p>
      <w:pPr>
        <w:pStyle w:val="ListParagraph"/>
        <w:numPr>
          <w:ilvl w:val="0"/>
          <w:numId w:val="2"/>
        </w:numPr>
        <w:spacing w:after="60" w:line="264"/>
      </w:pPr>
      <w:r>
        <w:rPr>
          <w:color w:val="1A1A1A"/>
          <w:sz w:val="21"/>
          <w:szCs w:val="21"/>
        </w:rPr>
        <w:t xml:space="preserve">Program-year data model (initial vs ongoing years) with backfill of live data</w:t>
      </w:r>
    </w:p>
    <w:p>
      <w:pPr>
        <w:pStyle w:val="ListParagraph"/>
        <w:numPr>
          <w:ilvl w:val="0"/>
          <w:numId w:val="2"/>
        </w:numPr>
        <w:spacing w:after="60" w:line="264"/>
      </w:pPr>
      <w:r>
        <w:rPr>
          <w:color w:val="1A1A1A"/>
          <w:sz w:val="21"/>
          <w:szCs w:val="21"/>
        </w:rPr>
        <w:t xml:space="preserve">Settings → School Terms - per-state term dates, seeded for 8 states, annual reset</w:t>
      </w:r>
    </w:p>
    <w:p>
      <w:pPr>
        <w:pStyle w:val="ListParagraph"/>
        <w:numPr>
          <w:ilvl w:val="0"/>
          <w:numId w:val="2"/>
        </w:numPr>
        <w:spacing w:after="60" w:line="264"/>
      </w:pPr>
      <w:r>
        <w:rPr>
          <w:color w:val="1A1A1A"/>
          <w:sz w:val="21"/>
          <w:szCs w:val="21"/>
        </w:rPr>
        <w:t xml:space="preserve">Term-entry form - year/state/term dropdowns, calendar pickers, end-before-start validation</w:t>
      </w:r>
    </w:p>
    <w:p>
      <w:pPr>
        <w:pStyle w:val="ListParagraph"/>
        <w:numPr>
          <w:ilvl w:val="0"/>
          <w:numId w:val="2"/>
        </w:numPr>
        <w:spacing w:after="60" w:line="264"/>
      </w:pPr>
      <w:r>
        <w:rPr>
          <w:color w:val="1A1A1A"/>
          <w:sz w:val="21"/>
          <w:szCs w:val="21"/>
        </w:rPr>
        <w:t xml:space="preserve">Schedule calculation engine - progress vs Term-2 cadence, by state term calendars</w:t>
      </w:r>
    </w:p>
    <w:p>
      <w:pPr>
        <w:pStyle w:val="ListParagraph"/>
        <w:numPr>
          <w:ilvl w:val="0"/>
          <w:numId w:val="2"/>
        </w:numPr>
        <w:spacing w:after="60" w:line="264"/>
      </w:pPr>
      <w:r>
        <w:rPr>
          <w:color w:val="1A1A1A"/>
          <w:sz w:val="21"/>
          <w:szCs w:val="21"/>
        </w:rPr>
        <w:t xml:space="preserve">“Progress to End of Term 2” widget - current week, % elapsed by school days</w:t>
      </w: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Effort &amp; price</w:t>
      </w:r>
    </w:p>
    <w:p>
      <w:pPr>
        <w:spacing w:after="90" w:before="0" w:line="264"/>
      </w:pPr>
      <w:r>
        <w:rPr>
          <w:color w:val="1A1A1A"/>
          <w:sz w:val="21"/>
          <w:szCs w:val="21"/>
        </w:rPr>
        <w:t xml:space="preserve">Fixed price, broken down by discipline at conservative senior contract rates (ex-GST):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2200"/>
        <w:gridCol w:w="1826"/>
      </w:tblGrid>
      <w:tr>
        <w:trPr>
          <w:tblHeader/>
        </w:trPr>
        <w:tc>
          <w:tcPr>
            <w:tcW w:type="dxa" w:w="36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Discipline</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Hours</w:t>
            </w:r>
          </w:p>
        </w:tc>
        <w:tc>
          <w:tcPr>
            <w:tcW w:type="dxa" w:w="22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Hourly rate</w:t>
            </w:r>
          </w:p>
        </w:tc>
        <w:tc>
          <w:tcPr>
            <w:tcW w:type="dxa" w:w="18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Subtotal</w:t>
            </w:r>
          </w:p>
        </w:tc>
      </w:tr>
      <w:tr>
        <w:tc>
          <w:tcPr>
            <w:tcW w:type="dxa" w:w="3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UX / Design</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23 h</w:t>
            </w:r>
          </w:p>
        </w:tc>
        <w:tc>
          <w:tcPr>
            <w:tcW w:type="dxa" w:w="2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$100.00/hr</w:t>
            </w:r>
          </w:p>
        </w:tc>
        <w:tc>
          <w:tcPr>
            <w:tcW w:type="dxa" w:w="18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$2,300.00</w:t>
            </w:r>
          </w:p>
        </w:tc>
      </w:tr>
      <w:tr>
        <w:tc>
          <w:tcPr>
            <w:tcW w:type="dxa" w:w="3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Frontend</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74 h</w:t>
            </w:r>
          </w:p>
        </w:tc>
        <w:tc>
          <w:tcPr>
            <w:tcW w:type="dxa" w:w="22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$106.25/hr</w:t>
            </w:r>
          </w:p>
        </w:tc>
        <w:tc>
          <w:tcPr>
            <w:tcW w:type="dxa" w:w="18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$7,862.50</w:t>
            </w:r>
          </w:p>
        </w:tc>
      </w:tr>
      <w:tr>
        <w:tc>
          <w:tcPr>
            <w:tcW w:type="dxa" w:w="3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Backend</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162 h</w:t>
            </w:r>
          </w:p>
        </w:tc>
        <w:tc>
          <w:tcPr>
            <w:tcW w:type="dxa" w:w="2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$112.50/hr</w:t>
            </w:r>
          </w:p>
        </w:tc>
        <w:tc>
          <w:tcPr>
            <w:tcW w:type="dxa" w:w="18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$18,225.00</w:t>
            </w:r>
          </w:p>
        </w:tc>
      </w:tr>
      <w:tr>
        <w:tc>
          <w:tcPr>
            <w:tcW w:type="dxa" w:w="3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DevOps / Infra</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20 h</w:t>
            </w:r>
          </w:p>
        </w:tc>
        <w:tc>
          <w:tcPr>
            <w:tcW w:type="dxa" w:w="22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$118.75/hr</w:t>
            </w:r>
          </w:p>
        </w:tc>
        <w:tc>
          <w:tcPr>
            <w:tcW w:type="dxa" w:w="18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$2,375.00</w:t>
            </w:r>
          </w:p>
        </w:tc>
      </w:tr>
      <w:tr>
        <w:tc>
          <w:tcPr>
            <w:tcW w:type="dxa" w:w="3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Product Mgmt / BA</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29 h</w:t>
            </w:r>
          </w:p>
        </w:tc>
        <w:tc>
          <w:tcPr>
            <w:tcW w:type="dxa" w:w="2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$93.75/hr</w:t>
            </w:r>
          </w:p>
        </w:tc>
        <w:tc>
          <w:tcPr>
            <w:tcW w:type="dxa" w:w="18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$2,718.75</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900"/>
        <w:gridCol w:w="1600"/>
        <w:gridCol w:w="1526"/>
      </w:tblGrid>
      <w:tr>
        <w:trPr>
          <w:tblHeader/>
        </w:trPr>
        <w:tc>
          <w:tcPr>
            <w:tcW w:type="dxa" w:w="59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c>
          <w:tcPr>
            <w:tcW w:type="dxa" w:w="16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c>
          <w:tcPr>
            <w:tcW w:type="dxa" w:w="15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r>
      <w:tr>
        <w:tc>
          <w:tcPr>
            <w:tcW w:type="dxa" w:w="59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Module total</w:t>
            </w:r>
          </w:p>
        </w:tc>
        <w:tc>
          <w:tcPr>
            <w:tcW w:type="dxa" w:w="16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sz w:val="19"/>
                <w:szCs w:val="19"/>
              </w:rPr>
              <w:t xml:space="preserve">308 hours</w:t>
            </w:r>
          </w:p>
        </w:tc>
        <w:tc>
          <w:tcPr>
            <w:tcW w:type="dxa" w:w="15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20"/>
                <w:szCs w:val="20"/>
              </w:rPr>
              <w:t xml:space="preserve">$33,481.25</w:t>
            </w:r>
          </w:p>
        </w:tc>
      </w:tr>
      <w:tr>
        <w:tc>
          <w:tcPr>
            <w:tcW w:type="dxa" w:w="59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color w:val="5A5A5A"/>
                <w:sz w:val="21"/>
                <w:szCs w:val="21"/>
              </w:rPr>
              <w:t xml:space="preserve">+ GST (10%)</w:t>
            </w:r>
          </w:p>
        </w:tc>
        <w:tc>
          <w:tcPr>
            <w:tcW w:type="dxa" w:w="16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sz w:val="19"/>
                <w:szCs w:val="19"/>
              </w:rPr>
              <w:t xml:space="preserve"/>
            </w:r>
          </w:p>
        </w:tc>
        <w:tc>
          <w:tcPr>
            <w:tcW w:type="dxa" w:w="15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color w:val="5A5A5A"/>
                <w:sz w:val="19"/>
                <w:szCs w:val="19"/>
              </w:rPr>
              <w:t xml:space="preserve">$3,348.13</w:t>
            </w:r>
          </w:p>
        </w:tc>
      </w:tr>
      <w:tr>
        <w:tc>
          <w:tcPr>
            <w:tcW w:type="dxa" w:w="59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Total inc GST</w:t>
            </w:r>
          </w:p>
        </w:tc>
        <w:tc>
          <w:tcPr>
            <w:tcW w:type="dxa" w:w="16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sz w:val="19"/>
                <w:szCs w:val="19"/>
              </w:rPr>
              <w:t xml:space="preserve"/>
            </w:r>
          </w:p>
        </w:tc>
        <w:tc>
          <w:tcPr>
            <w:tcW w:type="dxa" w:w="15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sz w:val="20"/>
                <w:szCs w:val="20"/>
              </w:rPr>
              <w:t xml:space="preserve">$36,829.38</w:t>
            </w:r>
          </w:p>
        </w:tc>
      </w:tr>
    </w:tbl>
    <w:p>
      <w:pPr>
        <w:pStyle w:val="Heading1"/>
        <w:pageBreakBefore/>
        <w:pBdr>
          <w:bottom w:val="single" w:color="008490" w:sz="6" w:space="4"/>
        </w:pBdr>
        <w:spacing w:after="120" w:before="60"/>
      </w:pPr>
      <w:r>
        <w:rPr>
          <w:rFonts w:ascii="Arial" w:cs="Arial" w:eastAsia="Arial" w:hAnsi="Arial"/>
          <w:b/>
          <w:bCs/>
          <w:color w:val="008490"/>
          <w:sz w:val="26"/>
          <w:szCs w:val="26"/>
        </w:rPr>
        <w:t xml:space="preserve">Work breakdown - what each discipline does</w:t>
      </w:r>
    </w:p>
    <w:p>
      <w:pPr>
        <w:pBdr>
          <w:left w:val="single" w:color="008490" w:sz="18" w:space="12"/>
        </w:pBdr>
        <w:shd w:fill="EAF4F5" w:val="clear"/>
        <w:spacing w:after="120" w:before="40" w:line="264"/>
      </w:pPr>
      <w:r>
        <w:rPr>
          <w:b/>
          <w:bCs/>
          <w:color w:val="1A1A1A"/>
          <w:sz w:val="21"/>
          <w:szCs w:val="21"/>
        </w:rPr>
        <w:t xml:space="preserve">Indicative basis of estimate. </w:t>
      </w:r>
      <w:r>
        <w:rPr>
          <w:color w:val="1A1A1A"/>
          <w:sz w:val="21"/>
          <w:szCs w:val="21"/>
        </w:rPr>
        <w:t xml:space="preserve">This is the engineering work behind the fixed price - itemised task by task so the effort is visible. It is not a deliverables checklist, tasks are not individually severable from the fixed price, and it does not change the acceptance basis; the deliverable is the working module described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UX / Design  -  $100.00/hr</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Wireframe Settings &gt; School Terms admin page: year/state term table, entry form, annual re-entry flow</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5.5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Design term-entry form states: default, end-before-start error, saving, success toast</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Design Progress-to-End-of-Term-2 widget: week marker, % elapsed bar, QLD-default and term-ended states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Design schedule status badges (On/Ahead, Slightly Behind, Behind, N/A) using existing shadcn badge atoms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Spec responsive behaviour for School Terms table + widget at mobile/tablet breakpoints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Produce dark-mode variants for new badges, widget and form components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Run design QA pass against built UI (spacing, colours, badge contrast) before UAT</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23 h   ·   $2,300.00</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Frontend  -  $106.25/hr</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Scaffold app/(main)/admin/settings/school-terms/page.tsx inside existing admin layout</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Gate School Terms page via PAGE_FEATURES + checkFeatureAccess (server/features/features.service.ts)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Create entities/school-terms/api/endpoints.ts with fetch wrappers for term CRUD routes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Build TanStack Query hooks useTermCalendars / useUpsertTermCalendar in entities/school-terms/api</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entities/school-terms/model/keys.ts query-key factory + cache invalidation on save/delete</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Build TermCalendarTable organism: rows per state, Terms 1-4 start/end columns, grouped by year</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8</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TermEntryForm: year/state/term dropdowns (states table) + shadcn calendar date pickers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8</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Mirror server zod end-before-start rule client-side with inline field errors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empty state for years with no term data + 'Add next year' CTA for annual re-entry</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loading skeletons and error boundary states to School Terms page</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ProgressToEndOfTerm2 widget component: current week, % elapsed by completed school days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8</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Wire widget into admin-page-client.tsx dashboard with QLD default + term-not-started fallback</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schedule-status badge atom with tooltip showing weeks-behind delta per school</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schedule status column to admin schools table (app/(main)/admin/schools), Active schools only</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program-year fields (initial vs ongoing) to school edit UI in admin schools detail</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Responsive + dark-mode pass across School Terms page, widget and badges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Vitest tests for TermEntryForm validation and date-picker edge cases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Vitest tests for entities/school-terms hooks: key invalidation and error propagation</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74 h   ·   $7,862.50</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Backend  -  $112.50/hr</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Extend drizzle/schema.ts with school_term_calendars (year, state_id, term, start/end; unique year+state+term)</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Write drizzle SQL migration 00xx_school_term_calendars.sql with CHECK (end_date &gt; start_date)</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RLS policies for school_term_calendars: admin write, authenticated read for dashboards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Extend schema with program-year model: initial year vs ongoing-year designation per school</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Write migration 00xx_school_program_years.sql backfilling all current schools initial=2026</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Write backfill script classifying live schools initial vs ongoing from first lesson year / joinedAt</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6</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Write idempotent seed script for 2026 term dates across all 8 states x 4 terms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Create server/school-terms/school-terms.validators.ts: zod schemas with end-before-start refine</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Create server/school-terms/school-terms.repo.ts: list/upsert/delete term rows via drizzle</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Create server/school-terms/school-terms.service.ts: upsert with duplicate year/state/term guard</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GET/POST app/api/admin/school-terms/route.ts gated by checkFeatureAccess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PATCH/DELETE app/api/admin/school-terms/[id]/route.ts with zod param validation</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Log term-calendar create/edit/delete via existing admin-activity.service.ts audit trail</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migration granting platform admin roles the school-terms feature (per 0025 grant pattern)</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server/dashboard/term-calendar.ts: resolve Term 2 dates by state, week index, % elapsed</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8</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Implement school-day granularity: Friday deadline, 0.8wk = 4 school days, Australia/Brisbane cutoff</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7</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server/dashboard/class-scope.ts: ongoing-year filter (Prep/3/5 primary, 7/11 secondary)</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6</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Handle initial-year schools: all grades in scope for their first program year</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server/dashboard/schedule-thresholds.ts: On/Ahead, &gt;0-5wk Slightly Behind, &gt;5wk Behind constants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Build server/dashboard/schedule-engine.ts: required lessons 1/week levels 1-4, 1/fortnight level 5</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10</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Count only student lesson completions (lessons.status='completed' via lesson_classes) as progress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Extract server/dashboard/active-school.ts reusing school.service.ts resolveSchoolStatus predicate</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Bucket only Active schools into bands; return N/A for pending/inactive schools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Build server/dashboard/schedule-engine.repo.ts: batched lesson-completion counts per class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8</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Implement school status as AVERAGE of per-class progress deltas mapped to band</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Wire schedule results into program-health service consumed by admin dashboard endpoint</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term-progress endpoint for widget: current Term 2 week + % elapsed, QLD default</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Handle N/A edge cases: Term 2 not started, no in-scope classes, missing term calendar row</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Fall back to QLD calendar for schools missing state_id and flag them for data cleanup</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composite indexes for lesson-count queries (school_id + status) in migration</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Batch per-school computation across all Active schools to avoid N+1 on dashboard load</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6</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Vitest unit tests term-calendar.ts: week boundaries, Friday cutoff, 4-day rounding, AEST edges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Vitest unit tests class-scope.ts: initial-year all grades vs ongoing Prep/3/5/7/11 filtering</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Vitest unit tests schedule-engine.ts: weekly vs fortnightly required counts and band thresholds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Vitest unit tests school averaging: mixed class deltas to school band, zero-class edge</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Vitest tests school-terms.validators.ts: end-before-start rejection, duplicate term rejection</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Integration tests schedule-engine.repo.ts against seeded schools/classes/lessons fixtures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6</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Vitest tests for school-terms routes: feature-gate authz and payload validation</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Write reconciliation query comparing computed bands to manual spot-check sample post-backfill</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Update docs/features/admin-dashboard-redesign/schedule-engine tdd.md with final rules + constants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162 h   ·   $18,225.00</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DevOps / Infra  -  $118.75/hr</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Apply term-calendar + program-year migrations to staging then production Supabase with rollback plan</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6</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Run 2026 term seed and program-year backfill on live data; capture before/after row counts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6</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Smoke-test production schedule endpoints post-deploy and monitor dashboard query latency</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production log alerting for schedule-engine failures (missing calendar, state fallback)</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20 h   ·   $2,375.00</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Product Mgmt / BA  -  $93.75/hr</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Confirm band thresholds and class-averaging rule with client (flagged 'pending confirmation' in plan)</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Collect official 2026 term dates for all 8 states/territories from education department sources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Confirm per-school program initial year and ongoing-grade lists before backfill runs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Write test plan covering cadence rules, banding, term boundaries and widget scenarios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Coordinate UAT: client verifies known ahead/behind schools show correct schedule bands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Verify backfilled program-year data against the client's live school list</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Document annual term re-entry runbook for admins (each January)</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Obtain acceptance sign-off and publish release notes for the schedule engine module</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29 h   ·   $2,718.75</w:t>
            </w:r>
          </w:p>
        </w:tc>
      </w:tr>
    </w:tbl>
    <w:p>
      <w:pPr>
        <w:spacing w:after="100"/>
      </w:pP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Delivery &amp; terms</w:t>
      </w:r>
    </w:p>
    <w:p>
      <w:pPr>
        <w:pStyle w:val="ListParagraph"/>
        <w:numPr>
          <w:ilvl w:val="0"/>
          <w:numId w:val="2"/>
        </w:numPr>
        <w:spacing w:after="60" w:line="264"/>
      </w:pPr>
      <w:r>
        <w:rPr>
          <w:b/>
          <w:bCs/>
          <w:color w:val="1A1A1A"/>
          <w:sz w:val="21"/>
          <w:szCs w:val="21"/>
        </w:rPr>
        <w:t xml:space="preserve">Indicative delivery: </w:t>
      </w:r>
      <w:r>
        <w:rPr>
          <w:color w:val="1A1A1A"/>
          <w:sz w:val="21"/>
          <w:szCs w:val="21"/>
        </w:rPr>
        <w:t xml:space="preserve">1.5–2 weeks of focused build.</w:t>
      </w:r>
    </w:p>
    <w:p>
      <w:pPr>
        <w:pStyle w:val="ListParagraph"/>
        <w:numPr>
          <w:ilvl w:val="0"/>
          <w:numId w:val="2"/>
        </w:numPr>
        <w:spacing w:after="60" w:line="264"/>
      </w:pPr>
      <w:r>
        <w:rPr>
          <w:b/>
          <w:bCs/>
          <w:color w:val="1A1A1A"/>
          <w:sz w:val="21"/>
          <w:szCs w:val="21"/>
        </w:rPr>
        <w:t xml:space="preserve">Payment: </w:t>
      </w:r>
      <w:r>
        <w:rPr>
          <w:color w:val="1A1A1A"/>
          <w:sz w:val="21"/>
          <w:szCs w:val="21"/>
        </w:rPr>
        <w:t xml:space="preserve">40% deposit on commissioning, balance by milestone on delivery &amp; acceptance.</w:t>
      </w:r>
    </w:p>
    <w:p>
      <w:pPr>
        <w:pStyle w:val="ListParagraph"/>
        <w:numPr>
          <w:ilvl w:val="0"/>
          <w:numId w:val="2"/>
        </w:numPr>
        <w:spacing w:after="60" w:line="264"/>
      </w:pPr>
      <w:r>
        <w:rPr>
          <w:b/>
          <w:bCs/>
          <w:color w:val="1A1A1A"/>
          <w:sz w:val="21"/>
          <w:szCs w:val="21"/>
        </w:rPr>
        <w:t xml:space="preserve">Dependencies: </w:t>
      </w:r>
      <w:r>
        <w:rPr>
          <w:color w:val="1A1A1A"/>
          <w:sz w:val="21"/>
          <w:szCs w:val="21"/>
        </w:rPr>
        <w:t xml:space="preserve">None - this is the foundation module; M3 (the Dashboard) builds on it.</w:t>
      </w:r>
    </w:p>
    <w:p>
      <w:pPr>
        <w:pStyle w:val="ListParagraph"/>
        <w:numPr>
          <w:ilvl w:val="0"/>
          <w:numId w:val="2"/>
        </w:numPr>
        <w:spacing w:after="60" w:line="264"/>
      </w:pPr>
      <w:r>
        <w:rPr>
          <w:b/>
          <w:bCs/>
          <w:color w:val="1A1A1A"/>
          <w:sz w:val="21"/>
          <w:szCs w:val="21"/>
        </w:rPr>
        <w:t xml:space="preserve">From your side: </w:t>
      </w:r>
      <w:r>
        <w:rPr>
          <w:color w:val="1A1A1A"/>
          <w:sz w:val="21"/>
          <w:szCs w:val="21"/>
        </w:rPr>
        <w:t xml:space="preserve">Confirmed ACT Term 3 dates.</w:t>
      </w:r>
    </w:p>
    <w:p>
      <w:pPr>
        <w:pStyle w:val="ListParagraph"/>
        <w:numPr>
          <w:ilvl w:val="0"/>
          <w:numId w:val="2"/>
        </w:numPr>
        <w:spacing w:after="60" w:line="264"/>
      </w:pPr>
      <w:r>
        <w:rPr>
          <w:color w:val="1A1A1A"/>
          <w:sz w:val="21"/>
          <w:szCs w:val="21"/>
        </w:rPr>
        <w:t xml:space="preserve">Invoiced by Intradark Pty Ltd (+GST); deployment on payment.</w:t>
      </w:r>
    </w:p>
    <w:p>
      <w:pPr>
        <w:pBdr>
          <w:left w:val="single" w:color="008490" w:sz="18" w:space="12"/>
        </w:pBdr>
        <w:shd w:fill="EAF4F5" w:val="clear"/>
        <w:spacing w:after="120" w:before="40" w:line="264"/>
      </w:pPr>
      <w:r>
        <w:rPr>
          <w:b/>
          <w:bCs/>
          <w:color w:val="1A1A1A"/>
          <w:sz w:val="21"/>
          <w:szCs w:val="21"/>
        </w:rPr>
        <w:t xml:space="preserve">Bundle option. </w:t>
      </w:r>
      <w:r>
        <w:rPr>
          <w:color w:val="1A1A1A"/>
          <w:sz w:val="21"/>
          <w:szCs w:val="21"/>
        </w:rPr>
        <w:t xml:space="preserve">Commission the full program together and this module is included at a 20% discount - see the Master Proposal.</w:t>
      </w: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Appendix - your request, in your words</w:t>
      </w:r>
    </w:p>
    <w:p>
      <w:pPr>
        <w:spacing w:after="80" w:before="0" w:line="264"/>
      </w:pPr>
      <w:r>
        <w:rPr>
          <w:i/>
          <w:iCs/>
          <w:color w:val="5A5A5A"/>
          <w:sz w:val="19"/>
          <w:szCs w:val="19"/>
        </w:rPr>
        <w:t xml:space="preserve">Excerpts from your document of 22 June 2026 that this quote responds to:</w:t>
      </w:r>
    </w:p>
    <w:p>
      <w:pPr>
        <w:pBdr>
          <w:left w:val="single" w:color="C9C9C9" w:sz="14" w:space="10"/>
        </w:pBdr>
        <w:spacing w:after="100" w:before="40" w:line="258"/>
        <w:ind w:left="280"/>
      </w:pPr>
      <w:r>
        <w:rPr>
          <w:i/>
          <w:iCs/>
          <w:color w:val="5A5A5A"/>
          <w:sz w:val="19"/>
          <w:szCs w:val="19"/>
        </w:rPr>
        <w:t xml:space="preserve">“Schools have been informed that, as a funding condition, all teachers and students at the school must complete the program by the end of Term 2 each year.”</w:t>
      </w:r>
    </w:p>
    <w:p>
      <w:pPr>
        <w:pBdr>
          <w:left w:val="single" w:color="C9C9C9" w:sz="14" w:space="10"/>
        </w:pBdr>
        <w:spacing w:after="100" w:before="40" w:line="258"/>
        <w:ind w:left="280"/>
      </w:pPr>
      <w:r>
        <w:rPr>
          <w:i/>
          <w:iCs/>
          <w:color w:val="5A5A5A"/>
          <w:sz w:val="19"/>
          <w:szCs w:val="19"/>
        </w:rPr>
        <w:t xml:space="preserve">“Note: As school terms are slightly different for each state, we will need to add school terms by state, so if a school is from Qld all the dashboard data will be based on Qld school terms. These do change slightly each year so we will need to reset “school terms” each year by state.”</w:t>
      </w:r>
    </w:p>
    <w:p>
      <w:pPr>
        <w:pBdr>
          <w:left w:val="single" w:color="C9C9C9" w:sz="14" w:space="10"/>
        </w:pBdr>
        <w:spacing w:after="100" w:before="40" w:line="258"/>
        <w:ind w:left="280"/>
      </w:pPr>
      <w:r>
        <w:rPr>
          <w:i/>
          <w:iCs/>
          <w:color w:val="5A5A5A"/>
          <w:sz w:val="19"/>
          <w:szCs w:val="19"/>
        </w:rPr>
        <w:t xml:space="preserve">“It is important that the portal knows the initial year and ongoing years, as this affects the schedule.”</w:t>
      </w:r>
    </w:p>
    <w:p>
      <w:pPr>
        <w:pBdr>
          <w:left w:val="single" w:color="C9C9C9" w:sz="14" w:space="10"/>
        </w:pBdr>
        <w:spacing w:after="100" w:before="40" w:line="258"/>
        <w:ind w:left="280"/>
      </w:pPr>
      <w:r>
        <w:rPr>
          <w:i/>
          <w:iCs/>
          <w:color w:val="5A5A5A"/>
          <w:sz w:val="19"/>
          <w:szCs w:val="19"/>
        </w:rPr>
        <w:t xml:space="preserve">“This just shows us what week we’re in during Term 2 and the percentage of Term 2 that has elapsed, based on completed school days in the term.”</w:t>
      </w:r>
    </w:p>
    <w:p>
      <w:pPr>
        <w:pBdr>
          <w:left w:val="single" w:color="C9C9C9" w:sz="14" w:space="10"/>
        </w:pBdr>
        <w:spacing w:after="100" w:before="40" w:line="258"/>
        <w:ind w:left="280"/>
      </w:pPr>
      <w:r>
        <w:rPr>
          <w:i/>
          <w:iCs/>
          <w:color w:val="5A5A5A"/>
          <w:sz w:val="19"/>
          <w:szCs w:val="19"/>
        </w:rPr>
        <w:t xml:space="preserve">“Validation Rule: Add a backend rule that rejects the entry if the End_Date is selected as a day before the Start_Date.”</w:t>
      </w:r>
    </w:p>
    <w:p>
      <w:pPr>
        <w:spacing w:after="200" w:before="120" w:line="264"/>
      </w:pPr>
      <w:r>
        <w:rPr>
          <w:color w:val="1A1A1A"/>
          <w:sz w:val="21"/>
          <w:szCs w:val="21"/>
        </w:rPr>
        <w:t xml:space="preserve">Respect always,</w:t>
      </w:r>
    </w:p>
    <w:p>
      <w:pPr>
        <w:spacing w:after="10" w:before="0" w:line="264"/>
      </w:pPr>
      <w:r>
        <w:rPr>
          <w:b/>
          <w:bCs/>
          <w:color w:val="1A1A1A"/>
          <w:sz w:val="22"/>
          <w:szCs w:val="22"/>
        </w:rPr>
        <w:t xml:space="preserve">Aaron J. Girton</w:t>
      </w:r>
    </w:p>
    <w:p>
      <w:pPr>
        <w:spacing w:after="10" w:before="0" w:line="264"/>
      </w:pPr>
      <w:r>
        <w:rPr>
          <w:i/>
          <w:iCs/>
          <w:color w:val="5A5A5A"/>
          <w:sz w:val="19"/>
          <w:szCs w:val="19"/>
        </w:rPr>
        <w:t xml:space="preserve">Director, Intradark Pty Ltd</w:t>
      </w:r>
    </w:p>
    <w:p>
      <w:pPr>
        <w:spacing w:after="160" w:before="0" w:line="264"/>
      </w:pPr>
      <w:r>
        <w:rPr>
          <w:color w:val="5A5A5A"/>
          <w:sz w:val="19"/>
          <w:szCs w:val="19"/>
        </w:rPr>
        <w:t xml:space="preserve">agirton@intradark.com</w:t>
      </w:r>
    </w:p>
    <w:p>
      <w:pPr>
        <w:spacing w:after="0"/>
      </w:pPr>
      <w:r>
        <w:drawing>
          <wp:inline distT="0" distB="0" distL="0" distR="0">
            <wp:extent cx="1333500" cy="180975"/>
            <wp:effectExtent t="0" r="0" b="0" l="0"/>
            <wp:docPr id="1" name="intradark-logo" descr="Intradark logo" title="Intra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80975"/>
                    </a:xfrm>
                    <a:prstGeom prst="rect">
                      <a:avLst/>
                    </a:prstGeom>
                  </pic:spPr>
                </pic:pic>
              </a:graphicData>
            </a:graphic>
          </wp:inline>
        </w:drawing>
      </w:r>
    </w:p>
    <w:sectPr>
      <w:headerReference w:type="default" r:id="rId7"/>
      <w:headerReference w:type="first" r:id="rId8"/>
      <w:footerReference w:type="default" r:id="rId9"/>
      <w:footerReference w:type="first" r:id="rId10"/>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6"/>
      </w:pBdr>
      <w:tabs>
        <w:tab w:val="right" w:pos="9026"/>
      </w:tabs>
    </w:pPr>
    <w:r>
      <w:rPr>
        <w:color w:val="5A5A5A"/>
        <w:sz w:val="16"/>
        <w:szCs w:val="16"/>
      </w:rPr>
      <w:t xml:space="preserve">Intradark Pty Ltd  ·  Quote M2 - Confidential</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6"/>
      </w:pBdr>
      <w:tabs>
        <w:tab w:val="right" w:pos="9026"/>
      </w:tabs>
    </w:pPr>
    <w:r>
      <w:rPr>
        <w:color w:val="5A5A5A"/>
        <w:sz w:val="16"/>
        <w:szCs w:val="16"/>
      </w:rPr>
      <w:t xml:space="preserve">Intradark Pty Ltd  ·  Quote M2 - Confidential</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904875" cy="123825"/>
          <wp:effectExtent t="0" r="0" b="0" l="0"/>
          <wp:docPr id="1" name="intradark-logo" descr="Intradark logo" title="Intra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1238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08490"/>
      </w:rPr>
    </w:lvl>
  </w:abstractNum>
  <w:abstractNum w:abstractNumId="3" w15:restartNumberingAfterBreak="0">
    <w:multiLevelType w:val="hybridMultilevel"/>
    <w:lvl w:ilvl="0" w15:tentative="1">
      <w:start w:val="1"/>
      <w:numFmt w:val="bullet"/>
      <w:lvlText w:val="□"/>
      <w:lvlJc w:val="left"/>
      <w:pPr>
        <w:ind w:left="500" w:hanging="280"/>
      </w:pPr>
      <w:rPr>
        <w:color w:val="00849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8490"/>
      <w:sz w:val="26"/>
      <w:szCs w:val="26"/>
    </w:rPr>
  </w:style>
  <w:style w:type="paragraph" w:styleId="Heading2">
    <w:name w:val="Heading 2"/>
    <w:basedOn w:val="Normal"/>
    <w:next w:val="Normal"/>
    <w:qFormat/>
    <w:pPr>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8f661d8ac06033ac8477e348f4e9219a04e47d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8f661d8ac06033ac8477e348f4e9219a04e47d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 Schedule Engine &amp; School Terms - Quote</dc:title>
  <dc:creator>Intradark</dc:creator>
  <cp:lastModifiedBy>Un-named</cp:lastModifiedBy>
  <cp:revision>1</cp:revision>
  <dcterms:created xsi:type="dcterms:W3CDTF">2026-07-05T10:32:13.489Z</dcterms:created>
  <dcterms:modified xsi:type="dcterms:W3CDTF">2026-07-05T10:32:13.489Z</dcterms:modified>
</cp:coreProperties>
</file>

<file path=docProps/custom.xml><?xml version="1.0" encoding="utf-8"?>
<Properties xmlns="http://schemas.openxmlformats.org/officeDocument/2006/custom-properties" xmlns:vt="http://schemas.openxmlformats.org/officeDocument/2006/docPropsVTypes"/>
</file>