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952625" cy="266700"/>
            <wp:effectExtent t="0" r="0" b="0" l="0"/>
            <wp:docPr id="1" name="intradark-logo" descr="Intradark logo" title="Intrad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8490" w:sz="10" w:space="6"/>
        </w:pBdr>
        <w:spacing w:after="60" w:before="80"/>
      </w:pPr>
      <w:r>
        <w:rPr>
          <w:i/>
          <w:iCs/>
          <w:color w:val="5A5A5A"/>
          <w:sz w:val="17"/>
          <w:szCs w:val="17"/>
        </w:rPr>
        <w:t xml:space="preserve">Intradark Pty Ltd  ·  ABN 38 696 182 457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Quote - M6: Culture-Rating UX Upgrade</w:t>
      </w:r>
    </w:p>
    <w:p>
      <w:pPr>
        <w:spacing w:after="160"/>
      </w:pPr>
      <w:r>
        <w:rPr>
          <w:i/>
          <w:iCs/>
          <w:color w:val="5A5A5A"/>
          <w:sz w:val="20"/>
          <w:szCs w:val="20"/>
        </w:rPr>
        <w:t xml:space="preserve">Bullyproof platform - new-functionality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To: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Glenn Rushton</w:t>
            </w:r>
            <w:r>
              <w:rPr>
                <w:color w:val="5A5A5A"/>
                <w:sz w:val="19"/>
                <w:szCs w:val="19"/>
              </w:rPr>
              <w:t xml:space="preserve">  -  Director, Amayda Pty Ltd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From: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Aaron J. Girton, Intradark Pty Ltd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Date: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29 June 2026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Module: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M6 of 8 - commissionable independently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00849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Scope</w:t>
      </w:r>
    </w:p>
    <w:p>
      <w:pPr>
        <w:spacing w:after="100" w:before="0" w:line="264"/>
      </w:pPr>
      <w:r>
        <w:rPr>
          <w:color w:val="1A1A1A"/>
          <w:sz w:val="21"/>
          <w:szCs w:val="21"/>
        </w:rPr>
        <w:t xml:space="preserve">The re-specified culture presentation - the signed ±100/150/200% expanding speedometer and the broadened performance page. (The culture rating itself - data entry, calculations, benchmark/comparative tracking - is already delivered under the contract.)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this module delivers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Signed ±100 / 150 / 200% dynamically-expanding culture speedometer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Performance page - enter and view comparative periods beyond culture rating</w:t>
      </w:r>
    </w:p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Effort &amp; price</w:t>
      </w:r>
    </w:p>
    <w:p>
      <w:pPr>
        <w:spacing w:after="90" w:before="0" w:line="264"/>
      </w:pPr>
      <w:r>
        <w:rPr>
          <w:color w:val="1A1A1A"/>
          <w:sz w:val="21"/>
          <w:szCs w:val="21"/>
        </w:rPr>
        <w:t xml:space="preserve">Fixed price, broken down by discipline at conservative senior contract rates (ex-GST):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200"/>
        <w:gridCol w:w="1826"/>
      </w:tblGrid>
      <w:tr>
        <w:trPr>
          <w:tblHeader/>
        </w:trP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Hourly rate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Subtotal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UX / Design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12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$100.00/hr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$1,200.00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34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$106.25/hr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$3,612.50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20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$112.50/hr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$2,250.00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 Mgmt / BA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$93.75/hr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$468.75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600"/>
        <w:gridCol w:w="1526"/>
      </w:tblGrid>
      <w:tr>
        <w:trPr>
          <w:tblHeader/>
        </w:trP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Module total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71 hours</w:t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20"/>
                <w:szCs w:val="20"/>
              </w:rPr>
              <w:t xml:space="preserve">$7,531.25</w:t>
            </w:r>
          </w:p>
        </w:tc>
      </w:tr>
      <w:t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5A5A5A"/>
                <w:sz w:val="21"/>
                <w:szCs w:val="21"/>
              </w:rPr>
              <w:t xml:space="preserve">+ GST (10%)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color w:val="5A5A5A"/>
                <w:sz w:val="19"/>
                <w:szCs w:val="19"/>
              </w:rPr>
              <w:t xml:space="preserve">$753.13</w:t>
            </w:r>
          </w:p>
        </w:tc>
      </w:tr>
      <w:t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Total inc GST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$8,284.38</w:t>
            </w:r>
          </w:p>
        </w:tc>
      </w:tr>
    </w:tbl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Work breakdown - what each discipline does</w:t>
      </w:r>
    </w:p>
    <w:p>
      <w:pPr>
        <w:pBdr>
          <w:left w:val="single" w:color="008490" w:sz="18" w:space="12"/>
        </w:pBdr>
        <w:shd w:fill="EAF4F5" w:val="clear"/>
        <w:spacing w:after="120" w:before="40" w:line="264"/>
      </w:pPr>
      <w:r>
        <w:rPr>
          <w:b/>
          <w:bCs/>
          <w:color w:val="1A1A1A"/>
          <w:sz w:val="21"/>
          <w:szCs w:val="21"/>
        </w:rPr>
        <w:t xml:space="preserve">Indicative basis of estimate. </w:t>
      </w:r>
      <w:r>
        <w:rPr>
          <w:color w:val="1A1A1A"/>
          <w:sz w:val="21"/>
          <w:szCs w:val="21"/>
        </w:rPr>
        <w:t xml:space="preserve">This is the engineering work behind the fixed price - itemised task by task so the effort is visible. It is not a deliverables checklist, tasks are not individually severable from the fixed price, and it does not change the acceptance basis; the deliverable is the working module described above.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UX / Design  -  $100.00/hr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Wireframe signed +/-100% speedometer: benchmark-at-zero needle, loss/gain arcs, 150/200% expanded states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Design gauge edge states: no benchmark, no comparative period, negative score, over-100% expansion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Redesign Performance page layout: comparative-period entry panel plus per-metric comparison sections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Produce dark-mode and mobile variants of gauge and Performance layout using existing Tailwind tokens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Run design QA on built gauge vs spec: needle angles, gradient stops, tick labels, expansion animation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12 h   ·   $1,200.00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  -  $106.25/hr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SignedSpeedometerGauge to replace SemiCircleGauge in culture-rating-comparison-dashboard.tsx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Implement dynamic scale expansion to +/-150/200% with animated tick relabel when score exceeds 100%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Rework cultureRatingGaugeScore in lib/culture-rating-math.ts to signed % vs benchmark (drop 0-100 clamp)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vitest specs lib/culture-rating-math.test.ts: signed mapping, expansion thresholds, null benchmarks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Migrate CultureRatingPerformanceSection from useEffect fetch to TanStack Query hooks with query keys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comparative-period entry on Performance page: sheet reusing school-culture-rating-data-form.tsx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multi-period comparison view in performance-page-client.tsx: period selector + per-metric trends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Replace dashed 'future release' placeholder card with broadened metric sections beyond culture rating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Wire loading/empty/error states: no benchmark, zero comparatives, failed save on Performance entry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Gate new entry panel behind PAGE_FEATURES.SCHOOL_CULTURE_RATING via useFeatureAccess/FeatureGuard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Verify speedometer SVG responsive and dark-mode rendering (gradient, ticks) across breakpoints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34 h   ·   $3,612.50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Backend  -  $112.50/hr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Extend server/culture-ratings/culture-ratings.service.ts detail payload with signed score + scale bound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signed vs-benchmark score to culture-rating-metrics.ts; retire interim attendance-blend gauge math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Broaden GET app/api/schools/[id]/culture-rating response with per-metric series for comparative periods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Tighten culture-ratings.validators.ts zod: period end-after-start + overlap checks for Performance entry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vitest server tests for signed score: zero-benchmark division guards and 150/200% bound selection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20 h   ·   $2,250.00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 Mgmt / BA  -  $93.75/hr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Confirm signed-scale rules with client: zero=benchmark mapping, expansion trigger, band labels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Coordinate UAT: pilot school enters real comparative periods on Performance page, verifies gauge reading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test plan and capture acceptance sign-off for gauge replacement and Performance page rollout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5 h   ·   $468.75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Delivery &amp; terms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Indicative delivery: </w:t>
      </w:r>
      <w:r>
        <w:rPr>
          <w:color w:val="1A1A1A"/>
          <w:sz w:val="21"/>
          <w:szCs w:val="21"/>
        </w:rPr>
        <w:t xml:space="preserve">3–4 days of focused build.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Payment: </w:t>
      </w:r>
      <w:r>
        <w:rPr>
          <w:color w:val="1A1A1A"/>
          <w:sz w:val="21"/>
          <w:szCs w:val="21"/>
        </w:rPr>
        <w:t xml:space="preserve">40% deposit on commissioning, balance by milestone on delivery &amp; acceptance.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Dependencies: </w:t>
      </w:r>
      <w:r>
        <w:rPr>
          <w:color w:val="1A1A1A"/>
          <w:sz w:val="21"/>
          <w:szCs w:val="21"/>
        </w:rPr>
        <w:t xml:space="preserve">None.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From your side: </w:t>
      </w:r>
      <w:r>
        <w:rPr>
          <w:color w:val="1A1A1A"/>
          <w:sz w:val="21"/>
          <w:szCs w:val="21"/>
        </w:rPr>
        <w:t xml:space="preserve">Confirmation that your 25 April email is the final culture-rating weighting.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Invoiced by Intradark Pty Ltd (+GST); deployment on payment.</w:t>
      </w:r>
    </w:p>
    <w:p>
      <w:pPr>
        <w:pBdr>
          <w:left w:val="single" w:color="008490" w:sz="18" w:space="12"/>
        </w:pBdr>
        <w:shd w:fill="EAF4F5" w:val="clear"/>
        <w:spacing w:after="120" w:before="40" w:line="264"/>
      </w:pPr>
      <w:r>
        <w:rPr>
          <w:b/>
          <w:bCs/>
          <w:color w:val="1A1A1A"/>
          <w:sz w:val="21"/>
          <w:szCs w:val="21"/>
        </w:rPr>
        <w:t xml:space="preserve">Bundle option. </w:t>
      </w:r>
      <w:r>
        <w:rPr>
          <w:color w:val="1A1A1A"/>
          <w:sz w:val="21"/>
          <w:szCs w:val="21"/>
        </w:rPr>
        <w:t xml:space="preserve">Commission the full program together and this module is included at a 20% discount - see the Master Proposal.</w:t>
      </w:r>
    </w:p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Appendix - your request, in your words</w:t>
      </w:r>
    </w:p>
    <w:p>
      <w:pPr>
        <w:spacing w:after="80" w:before="0" w:line="264"/>
      </w:pPr>
      <w:r>
        <w:rPr>
          <w:i/>
          <w:iCs/>
          <w:color w:val="5A5A5A"/>
          <w:sz w:val="19"/>
          <w:szCs w:val="19"/>
        </w:rPr>
        <w:t xml:space="preserve">Excerpts from your document of 22 June 2026 that this quote responds to:</w:t>
      </w:r>
    </w:p>
    <w:p>
      <w:pPr>
        <w:pBdr>
          <w:left w:val="single" w:color="C9C9C9" w:sz="14" w:space="10"/>
        </w:pBdr>
        <w:spacing w:after="100" w:before="40" w:line="258"/>
        <w:ind w:left="280"/>
      </w:pPr>
      <w:r>
        <w:rPr>
          <w:i/>
          <w:iCs/>
          <w:color w:val="5A5A5A"/>
          <w:sz w:val="19"/>
          <w:szCs w:val="19"/>
        </w:rPr>
        <w:t xml:space="preserve">“The default should be plus/minus 100% with the benchmark being the zero point, however, should a school improve their culture by more than 100%, we should have a dynamic image that could, for example, expand to 150% or 200% either way – if required.”</w:t>
      </w:r>
    </w:p>
    <w:p>
      <w:pPr>
        <w:pBdr>
          <w:left w:val="single" w:color="C9C9C9" w:sz="14" w:space="10"/>
        </w:pBdr>
        <w:spacing w:after="100" w:before="40" w:line="258"/>
        <w:ind w:left="280"/>
      </w:pPr>
      <w:r>
        <w:rPr>
          <w:i/>
          <w:iCs/>
          <w:color w:val="5A5A5A"/>
          <w:sz w:val="19"/>
          <w:szCs w:val="19"/>
        </w:rPr>
        <w:t xml:space="preserve">“The following is the page the schools will see when they click on the Performance button on the sidebar. They can enter various comparative periods and view these.”</w:t>
      </w:r>
    </w:p>
    <w:p>
      <w:pPr>
        <w:spacing w:after="200" w:before="120" w:line="264"/>
      </w:pPr>
      <w:r>
        <w:rPr>
          <w:color w:val="1A1A1A"/>
          <w:sz w:val="21"/>
          <w:szCs w:val="21"/>
        </w:rPr>
        <w:t xml:space="preserve">Respect always,</w:t>
      </w:r>
    </w:p>
    <w:p>
      <w:pPr>
        <w:spacing w:after="10" w:before="0" w:line="264"/>
      </w:pPr>
      <w:r>
        <w:rPr>
          <w:b/>
          <w:bCs/>
          <w:color w:val="1A1A1A"/>
          <w:sz w:val="22"/>
          <w:szCs w:val="22"/>
        </w:rPr>
        <w:t xml:space="preserve">Aaron J. Girton</w:t>
      </w:r>
    </w:p>
    <w:p>
      <w:pPr>
        <w:spacing w:after="10" w:before="0" w:line="264"/>
      </w:pPr>
      <w:r>
        <w:rPr>
          <w:i/>
          <w:iCs/>
          <w:color w:val="5A5A5A"/>
          <w:sz w:val="19"/>
          <w:szCs w:val="19"/>
        </w:rPr>
        <w:t xml:space="preserve">Director, Intradark Pty Ltd</w:t>
      </w:r>
    </w:p>
    <w:p>
      <w:pPr>
        <w:spacing w:after="160" w:before="0" w:line="264"/>
      </w:pPr>
      <w:r>
        <w:rPr>
          <w:color w:val="5A5A5A"/>
          <w:sz w:val="19"/>
          <w:szCs w:val="19"/>
        </w:rPr>
        <w:t xml:space="preserve">agirton@intradark.com</w:t>
      </w:r>
    </w:p>
    <w:p>
      <w:pPr>
        <w:spacing w:after="0"/>
      </w:pPr>
      <w:r>
        <w:drawing>
          <wp:inline distT="0" distB="0" distL="0" distR="0">
            <wp:extent cx="1333500" cy="180975"/>
            <wp:effectExtent t="0" r="0" b="0" l="0"/>
            <wp:docPr id="1" name="intradark-logo" descr="Intradark logo" title="Intrad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4" w:space="6"/>
      </w:pBdr>
      <w:tabs>
        <w:tab w:val="right" w:pos="9026"/>
      </w:tabs>
    </w:pPr>
    <w:r>
      <w:rPr>
        <w:color w:val="5A5A5A"/>
        <w:sz w:val="16"/>
        <w:szCs w:val="16"/>
      </w:rPr>
      <w:t xml:space="preserve">Intradark Pty Ltd  ·  Quote M6 - Confidential</w:t>
    </w:r>
    <w:r>
      <w:rPr>
        <w:color w:val="5A5A5A"/>
        <w:sz w:val="16"/>
        <w:szCs w:val="16"/>
      </w:rPr>
      <w:t xml:space="preserve">	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4" w:space="6"/>
      </w:pBdr>
      <w:tabs>
        <w:tab w:val="right" w:pos="9026"/>
      </w:tabs>
    </w:pPr>
    <w:r>
      <w:rPr>
        <w:color w:val="5A5A5A"/>
        <w:sz w:val="16"/>
        <w:szCs w:val="16"/>
      </w:rPr>
      <w:t xml:space="preserve">Intradark Pty Ltd  ·  Quote M6 - Confidential</w:t>
    </w:r>
    <w:r>
      <w:rPr>
        <w:color w:val="5A5A5A"/>
        <w:sz w:val="16"/>
        <w:szCs w:val="16"/>
      </w:rPr>
      <w:t xml:space="preserve">	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904875" cy="123825"/>
          <wp:effectExtent t="0" r="0" b="0" l="0"/>
          <wp:docPr id="1" name="intradark-logo" descr="Intradark logo" title="Intrad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0849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00" w:hanging="280"/>
      </w:pPr>
      <w:rPr>
        <w:color w:val="0084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8490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8f661d8ac06033ac8477e348f4e9219a04e47d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8f661d8ac06033ac8477e348f4e9219a04e47d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M6 Culture-Rating UX Upgrade - Quote</dc:title>
  <dc:creator>Intradark</dc:creator>
  <cp:lastModifiedBy>Un-named</cp:lastModifiedBy>
  <cp:revision>1</cp:revision>
  <dcterms:created xsi:type="dcterms:W3CDTF">2026-07-05T10:32:13.505Z</dcterms:created>
  <dcterms:modified xsi:type="dcterms:W3CDTF">2026-07-05T10:32:13.505Z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