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drawing>
          <wp:inline xmlns:a="http://schemas.openxmlformats.org/drawingml/2006/main" xmlns:pic="http://schemas.openxmlformats.org/drawingml/2006/picture">
            <wp:extent cx="1952625" cy="2676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rk-word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67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after="80"/>
        <w:pBdr>
          <w:bottom w:val="single" w:sz="10" w:space="8" w:color="008490"/>
        </w:pBdr>
      </w:pPr>
      <w:r>
        <w:rPr>
          <w:rFonts w:ascii="Calibri" w:hAnsi="Calibri"/>
          <w:b/>
          <w:color w:val="1F2937"/>
          <w:sz w:val="50"/>
        </w:rPr>
        <w:t>TAX INVOICE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8490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759"/>
            <w:shd w:val="clear" w:fill="008490"/>
          </w:tcPr>
          <w:p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Supplier: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Intradark Pty Ltd</w:t>
            </w:r>
          </w:p>
        </w:tc>
      </w:tr>
      <w:tr>
        <w:tc>
          <w:tcPr>
            <w:tcW w:type="dxa" w:w="4759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ABN:</w:t>
            </w:r>
          </w:p>
        </w:tc>
        <w:tc>
          <w:tcPr>
            <w:tcW w:type="dxa" w:w="4759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38 696 182 457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Invoice number: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[INV-2026-___]</w:t>
            </w:r>
          </w:p>
        </w:tc>
      </w:tr>
      <w:tr>
        <w:tc>
          <w:tcPr>
            <w:tcW w:type="dxa" w:w="4759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Invoice date:</w:t>
            </w:r>
          </w:p>
        </w:tc>
        <w:tc>
          <w:tcPr>
            <w:tcW w:type="dxa" w:w="4759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7 July 2026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Bill to: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Amayda Pty Ltd, Attn: Glenn Rushton, Director [insert ABN / address]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Calibri" w:hAnsi="Calibri"/>
          <w:b/>
          <w:color w:val="008490"/>
          <w:sz w:val="31"/>
        </w:rPr>
        <w:t>Items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8490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4759"/>
            <w:shd w:val="clear" w:fill="008490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Amount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M1 Content Type module: 40% commissioning deposit on the agreed fixed price of $19,112.50 ex GST, per the Master Proposal terms. Balance payable on delivery and acceptance of the module.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$7,645.00</w:t>
            </w:r>
          </w:p>
        </w:tc>
      </w:tr>
      <w:tr>
        <w:tc>
          <w:tcPr>
            <w:tcW w:type="dxa" w:w="4759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GST (10%)</w:t>
            </w:r>
          </w:p>
        </w:tc>
        <w:tc>
          <w:tcPr>
            <w:tcW w:type="dxa" w:w="4759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$764.50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payable (GST inclusive)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$8,409.50</w:t>
            </w:r>
          </w:p>
        </w:tc>
      </w:tr>
    </w:tbl>
    <w:p/>
    <w:p>
      <w:pPr>
        <w:pStyle w:val="Heading2"/>
        <w:spacing w:before="320" w:after="120"/>
      </w:pPr>
      <w:r>
        <w:rPr>
          <w:rFonts w:ascii="Calibri" w:hAnsi="Calibri"/>
          <w:b/>
          <w:color w:val="008490"/>
          <w:sz w:val="31"/>
        </w:rPr>
        <w:t>Payment terms</w:t>
      </w:r>
    </w:p>
    <w:p>
      <w:r>
        <w:t>Payable on receipt. Work on the M1 Content Type module commences on receipt of this deposit.</w:t>
      </w:r>
    </w:p>
    <w:p>
      <w:pPr>
        <w:pStyle w:val="Heading2"/>
        <w:spacing w:before="320" w:after="120"/>
      </w:pPr>
      <w:r>
        <w:rPr>
          <w:rFonts w:ascii="Calibri" w:hAnsi="Calibri"/>
          <w:b/>
          <w:color w:val="008490"/>
          <w:sz w:val="31"/>
        </w:rPr>
        <w:t>Payment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  <w:shd w:val="clear" w:fill="008490"/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4759"/>
            <w:shd w:val="clear" w:fill="008490"/>
          </w:tcPr>
          <w:p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 name: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[insert]</w:t>
            </w:r>
          </w:p>
        </w:tc>
      </w:tr>
      <w:tr>
        <w:tc>
          <w:tcPr>
            <w:tcW w:type="dxa" w:w="4759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BSB:</w:t>
            </w:r>
          </w:p>
        </w:tc>
        <w:tc>
          <w:tcPr>
            <w:tcW w:type="dxa" w:w="4759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[insert]</w:t>
            </w:r>
          </w:p>
        </w:tc>
      </w:tr>
      <w:tr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Account number:</w:t>
            </w:r>
          </w:p>
        </w:tc>
        <w:tc>
          <w:tcPr>
            <w:tcW w:type="dxa" w:w="4759"/>
          </w:tcPr>
          <w:p>
            <w:r>
              <w:rPr>
                <w:sz w:val="19"/>
              </w:rPr>
            </w:r>
            <w:r>
              <w:rPr>
                <w:sz w:val="19"/>
              </w:rPr>
              <w:t>[insert]</w:t>
            </w:r>
          </w:p>
        </w:tc>
      </w:tr>
      <w:tr>
        <w:tc>
          <w:tcPr>
            <w:tcW w:type="dxa" w:w="4759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Reference:</w:t>
            </w:r>
          </w:p>
        </w:tc>
        <w:tc>
          <w:tcPr>
            <w:tcW w:type="dxa" w:w="4759"/>
            <w:shd w:val="clear" w:fill="F2F7F7"/>
          </w:tcPr>
          <w:p>
            <w:r>
              <w:rPr>
                <w:sz w:val="19"/>
              </w:rPr>
            </w:r>
            <w:r>
              <w:rPr>
                <w:sz w:val="19"/>
              </w:rPr>
              <w:t>[invoice number]</w:t>
            </w:r>
          </w:p>
        </w:tc>
      </w:tr>
    </w:tbl>
    <w:p/>
    <w:p>
      <w:r>
        <w:t>Enquiries: agirton@intradark.com</w:t>
      </w:r>
    </w:p>
    <w:sectPr w:rsidR="00FC693F" w:rsidRPr="0006063C" w:rsidSect="00034616">
      <w:footerReference w:type="default" r:id="rId9"/>
      <w:footerReference w:type="first" r:id="rId10"/>
      <w:headerReference w:type="default" r:id="rId11"/>
      <w:pgSz w:w="12240" w:h="15840"/>
      <w:pgMar w:top="1247" w:right="1361" w:bottom="1134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18" w:val="right"/>
      </w:tabs>
      <w:pBdr>
        <w:top w:val="single" w:sz="4" w:space="6" w:color="008490"/>
      </w:pBdr>
    </w:pPr>
    <w:r/>
    <w:r>
      <w:rPr>
        <w:color w:val="6B7280"/>
        <w:sz w:val="16"/>
      </w:rPr>
      <w:t>Intradark Pty Ltd  ·  ABN 38 696 182 457  ·  Commercial in confidence</w:t>
    </w:r>
    <w:r>
      <w:rPr>
        <w:sz w:val="16"/>
      </w:rPr>
      <w:tab/>
    </w:r>
    <w:r>
      <w:rPr>
        <w:color w:val="6B7280"/>
        <w:sz w:val="16"/>
      </w:rPr>
      <w:t xml:space="preserve">Page </w:t>
    </w:r>
    <w:r>
      <w:rPr>
        <w:color w:val="6B7280"/>
        <w:sz w:val="16"/>
      </w:rPr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of </w:t>
    </w:r>
    <w:r>
      <w:rPr>
        <w:color w:val="6B7280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18" w:val="right"/>
      </w:tabs>
      <w:pBdr>
        <w:top w:val="single" w:sz="4" w:space="6" w:color="008490"/>
      </w:pBdr>
    </w:pPr>
    <w:r/>
    <w:r>
      <w:rPr>
        <w:color w:val="6B7280"/>
        <w:sz w:val="16"/>
      </w:rPr>
      <w:t>Intradark Pty Ltd  ·  ABN 38 696 182 457  ·  Commercial in confidence</w:t>
    </w:r>
    <w:r>
      <w:rPr>
        <w:sz w:val="16"/>
      </w:rPr>
      <w:tab/>
    </w:r>
    <w:r>
      <w:rPr>
        <w:color w:val="6B7280"/>
        <w:sz w:val="16"/>
      </w:rPr>
      <w:t xml:space="preserve">Page </w:t>
    </w:r>
    <w:r>
      <w:rPr>
        <w:color w:val="6B7280"/>
        <w:sz w:val="16"/>
      </w:rPr>
      <w:fldChar w:fldCharType="begin"/>
      <w:instrText xml:space="preserve">PAGE</w:instrText>
      <w:fldChar w:fldCharType="end"/>
    </w:r>
    <w:r>
      <w:rPr>
        <w:color w:val="6B7280"/>
        <w:sz w:val="16"/>
      </w:rPr>
      <w:t xml:space="preserve"> of </w:t>
    </w:r>
    <w:r>
      <w:rPr>
        <w:color w:val="6B7280"/>
        <w:sz w:val="16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drawing>
        <wp:inline xmlns:a="http://schemas.openxmlformats.org/drawingml/2006/main" xmlns:pic="http://schemas.openxmlformats.org/drawingml/2006/picture">
          <wp:extent cx="904875" cy="1240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tradark-wordmark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04875" cy="1240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