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INTRADARK</w:t>
      </w:r>
    </w:p>
    <w:p>
      <w:r>
        <w:t>Intradark Pty Ltd  ·  ABN 38 696 182 457</w:t>
      </w:r>
    </w:p>
    <w:p>
      <w:pPr>
        <w:pStyle w:val="Heading2"/>
      </w:pPr>
      <w:r>
        <w:rPr>
          <w:color w:val="1F2937"/>
        </w:rPr>
        <w:t>Final Delivery and Request for Acceptance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To:</w:t>
            </w:r>
          </w:p>
        </w:tc>
        <w:tc>
          <w:tcPr>
            <w:tcW w:type="dxa" w:w="4320"/>
          </w:tcPr>
          <w:p>
            <w:r>
              <w:rPr>
                <w:sz w:val="19"/>
              </w:rPr>
            </w:r>
            <w:r>
              <w:rPr>
                <w:sz w:val="19"/>
              </w:rPr>
              <w:t>Glenn Rushton, Director, Amayda Pty Ltd</w:t>
            </w:r>
          </w:p>
        </w:tc>
      </w:tr>
      <w:tr>
        <w:tc>
          <w:tcPr>
            <w:tcW w:type="dxa" w:w="4320"/>
          </w:tcPr>
          <w:p>
            <w:r>
              <w:rPr>
                <w:sz w:val="19"/>
              </w:rPr>
            </w:r>
            <w:r>
              <w:rPr>
                <w:sz w:val="19"/>
              </w:rPr>
              <w:t>From:</w:t>
            </w:r>
          </w:p>
        </w:tc>
        <w:tc>
          <w:tcPr>
            <w:tcW w:type="dxa" w:w="4320"/>
          </w:tcPr>
          <w:p>
            <w:r>
              <w:rPr>
                <w:sz w:val="19"/>
              </w:rPr>
            </w:r>
            <w:r>
              <w:rPr>
                <w:sz w:val="19"/>
              </w:rPr>
              <w:t>Aaron J. Girton, Director, Intradark Pty Ltd</w:t>
            </w:r>
          </w:p>
        </w:tc>
      </w:tr>
      <w:tr>
        <w:tc>
          <w:tcPr>
            <w:tcW w:type="dxa" w:w="4320"/>
          </w:tcPr>
          <w:p>
            <w:r>
              <w:rPr>
                <w:sz w:val="19"/>
              </w:rPr>
            </w:r>
            <w:r>
              <w:rPr>
                <w:sz w:val="19"/>
              </w:rPr>
              <w:t>Date:</w:t>
            </w:r>
          </w:p>
        </w:tc>
        <w:tc>
          <w:tcPr>
            <w:tcW w:type="dxa" w:w="4320"/>
          </w:tcPr>
          <w:p>
            <w:r>
              <w:rPr>
                <w:sz w:val="19"/>
              </w:rPr>
            </w:r>
            <w:r>
              <w:rPr>
                <w:sz w:val="19"/>
              </w:rPr>
              <w:t>7 July 2026</w:t>
            </w:r>
          </w:p>
        </w:tc>
      </w:tr>
      <w:tr>
        <w:tc>
          <w:tcPr>
            <w:tcW w:type="dxa" w:w="4320"/>
          </w:tcPr>
          <w:p>
            <w:r>
              <w:rPr>
                <w:sz w:val="19"/>
              </w:rPr>
            </w:r>
            <w:r>
              <w:rPr>
                <w:sz w:val="19"/>
              </w:rPr>
              <w:t>Re:</w:t>
            </w:r>
          </w:p>
        </w:tc>
        <w:tc>
          <w:tcPr>
            <w:tcW w:type="dxa" w:w="4320"/>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Pr>
      <w:r>
        <w:rPr>
          <w:color w:val="1F2937"/>
        </w:rPr>
        <w:t>1. What accompanies this letter</w:t>
      </w:r>
    </w:p>
    <w:p>
      <w:pPr>
        <w:pStyle w:val="ListNumber"/>
      </w:pPr>
      <w:r>
        <w:t>Completion and Deliverables Register, FINAL issue dated 7 July 2026 (all items Delivered).</w:t>
      </w:r>
    </w:p>
    <w:p>
      <w:pPr>
        <w:pStyle w:val="ListNumber"/>
      </w:pPr>
      <w:r>
        <w:t>Administrator User Guide (Word), deliverable D6.</w:t>
      </w:r>
    </w:p>
    <w:p>
      <w:pPr>
        <w:pStyle w:val="ListNumber"/>
      </w:pPr>
      <w:r>
        <w:t>System Administrator Guide (Word), deliverable D6. This includes configuration and deployment instructions per clause 7.5(b).</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pPr>
        <w:pStyle w:val="Heading3"/>
      </w:pPr>
      <w:r>
        <w:rPr>
          <w:color w:val="1F2937"/>
        </w:rPr>
        <w:t>2. Delivery for User Acceptance Testing (clause 7.1)</w:t>
      </w:r>
    </w:p>
    <w:p>
      <w:r>
        <w:t>The platform is available for your testing at [production URL, e.g.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Pr>
      <w:r>
        <w:rPr>
          <w:color w:val="1F2937"/>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Pr>
      <w:r>
        <w:rPr>
          <w:color w:val="1F2937"/>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Pr>
      <w:r>
        <w:rPr>
          <w:color w:val="1F2937"/>
        </w:rPr>
        <w:t>5. Handover (clauses 6 and 7.5)</w:t>
      </w:r>
    </w:p>
    <w:p>
      <w:r>
        <w:t>Clause 6 provides that full source code, documentation, credentials and repository control are delivered upon completion of the project and receipt of final payment. Accordingly, the handover set is prepared and ready:</w:t>
      </w:r>
    </w:p>
    <w:p>
      <w:pPr>
        <w:pStyle w:val="ListBullet"/>
      </w:pPr>
      <w:r>
        <w:t>full source code and build scripts, with repository control transferred to you;</w:t>
      </w:r>
    </w:p>
    <w:p>
      <w:pPr>
        <w:pStyle w:val="ListBullet"/>
      </w:pPr>
      <w:r>
        <w:t>configuration and deployment instructions (contained in the System Administrator Guide);</w:t>
      </w:r>
    </w:p>
    <w:p>
      <w:pPr>
        <w:pStyle w:val="ListBullet"/>
      </w:pPr>
      <w:r>
        <w:t>administrator and user documentation (enclosed now);</w:t>
      </w:r>
    </w:p>
    <w:p>
      <w:pPr>
        <w:pStyle w:val="ListBullet"/>
      </w:pPr>
      <w:r>
        <w:t>all credentials and keys, delivered securely.</w:t>
      </w:r>
    </w:p>
    <w:p>
      <w:r>
        <w:t>The documentation is enclosed with this letter. The source code, credentials and repository control transfer are executed on the day final payment is received, per clause 6. In the meantime you have, as clause 6 also requires, full access to the running platform for review and validation.</w:t>
      </w:r>
    </w:p>
    <w:p>
      <w:pPr>
        <w:pStyle w:val="Heading3"/>
      </w:pPr>
      <w:r>
        <w:rPr>
          <w:color w:val="1F2937"/>
        </w:rPr>
        <w:t>6. Payment (clause 4(b))</w:t>
      </w:r>
    </w:p>
    <w:p>
      <w:r>
        <w:t>Clause 4(b) provides that $100,000 plus GST is payable on completion of all deliverables, handover, and acceptance under clause 7. All deliverables are complete, and the handover set is prepared for same-day transfer against payment as clause 6 provides. The enclosed tax invoice for $110,000 (inclusive of GST) is payable on your written Acceptance (or deemed Acceptance under clause 7.4).</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