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01-M2-M8-class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/>
                  </pic:spPr>
                </pic:pic>
              </a:graphicData>
            </a:graphic>
          </wp:anchor>
        </w:drawing>
        <w:br w:type="page"/>
      </w:r>
    </w:p>
    <w:p>
      <w:pPr>
        <w:pStyle w:val="Heading1"/>
        <w:pBdr>
          <w:bottom w:val="single" w:sz="10" w:space="8" w:color="008490"/>
        </w:pBdr>
        <w:spacing w:after="80"/>
      </w:pPr>
      <w:r>
        <w:rPr>
          <w:rFonts w:ascii="Calibri" w:hAnsi="Calibri"/>
          <w:b/>
          <w:color w:val="1F2937"/>
          <w:sz w:val="50"/>
        </w:rPr>
        <w:t>M2-M8 scope classification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The line-by-line reconciliation requested in your 7 July letter, using your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categories. Every numbered item from the 22 June document is classified as: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b/>
          <w:i/>
          <w:color w:val="6B7280"/>
          <w:sz w:val="21"/>
        </w:rPr>
        <w:t>A</w:t>
      </w:r>
      <w:r>
        <w:rPr>
          <w:i/>
          <w:color w:val="6B7280"/>
          <w:sz w:val="21"/>
        </w:rPr>
        <w:t xml:space="preserve"> original SOW scope, </w:t>
      </w:r>
      <w:r>
        <w:rPr>
          <w:b/>
          <w:i/>
          <w:color w:val="6B7280"/>
          <w:sz w:val="21"/>
        </w:rPr>
        <w:t>B</w:t>
      </w:r>
      <w:r>
        <w:rPr>
          <w:i/>
          <w:color w:val="6B7280"/>
          <w:sz w:val="21"/>
        </w:rPr>
        <w:t xml:space="preserve"> signed Variation scope, </w:t>
      </w:r>
      <w:r>
        <w:rPr>
          <w:b/>
          <w:i/>
          <w:color w:val="6B7280"/>
          <w:sz w:val="21"/>
        </w:rPr>
        <w:t>C</w:t>
      </w:r>
      <w:r>
        <w:rPr>
          <w:i/>
          <w:color w:val="6B7280"/>
          <w:sz w:val="21"/>
        </w:rPr>
        <w:t xml:space="preserve"> defect,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 xml:space="preserve">warranty or incomplete implementation, or </w:t>
      </w:r>
      <w:r>
        <w:rPr>
          <w:b/>
          <w:i/>
          <w:color w:val="6B7280"/>
          <w:sz w:val="21"/>
        </w:rPr>
        <w:t>D</w:t>
      </w:r>
      <w:r>
        <w:rPr>
          <w:i/>
          <w:color w:val="6B7280"/>
          <w:sz w:val="21"/>
        </w:rPr>
        <w:t xml:space="preserve"> genuine new work. For A, B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and C the "Where it stands" column shows the work is already delivered or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fixed at no charge and verifiable in UAT today. Category D items are the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content of the M2-M8 quotes, priced as issued on 5 July (all modules</w:t>
      </w:r>
    </w:p>
    <w:p>
      <w:pPr>
        <w:pBdr>
          <w:left w:val="single" w:sz="12" w:space="8" w:color="008490"/>
        </w:pBdr>
        <w:spacing w:before="80" w:after="200"/>
        <w:ind w:left="280"/>
      </w:pPr>
      <w:r>
        <w:rPr>
          <w:i/>
          <w:color w:val="6B7280"/>
          <w:sz w:val="21"/>
        </w:rPr>
        <w:t>$171,350, or $137,080 ex GST with the whole-of-program discount).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96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Item (22 June document)</w:t>
            </w:r>
          </w:p>
        </w:tc>
        <w:tc>
          <w:tcPr>
            <w:tcW w:type="dxa" w:w="2296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296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Where it stands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Replace admin landing with new Home page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Current dashboard is delivered (A); the redesigned program-health Home page is quoted in M3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Total vs Active (onboarding-complete) schools with Ahead/Behind cards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M3; depends on the M2 schedule engine for Ahead/Behind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Per-school schedule status (On/Ahead/Slightly Behind/Behind)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 (you have accepted M2 as new)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"This School Year" selector, multi-year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M3; needs the M2 program-year model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Initial-year vs ongoing-year data model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6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Sidebar: Manage Schools / Lessons / AP Cert / Users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 + 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The admin areas exist and are delivered; the relocation and renaming into the new sidebar is part of the M3 redesign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7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 filters (state, level, sector, AP level, status)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State, sector, status and type filters are delivered on Admin &gt; Schools (A); the dashboard filter bar incl. AP level and Schedule is quoted in M3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Nine dashboard columns (Culture trend, AP Cert %, Students, Schedule etc.)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M3; several columns require the M2 engine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9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Drill-downs (Onboarding, Culture, AP Cert, Class, Lesson History, Teacher History)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 + 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Onboarding, Culture and Class drill-downs are delivered in the school drawer; Lesson History, Teacher History and per-school AP Cert % are quoted in M3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10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Settings &gt; School Terms (per-state term dates by year)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11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Term entry form with validation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Schedule calculation engine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Progress to End of Term 2 widget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M2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14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Culture data entry: all eight inputs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 exactly as your template lists them; re-verified live 7 July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15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Culture calculations incl. zero-input weighting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 and verified live with exact values; your Woodford constants applied on receipt (the one input owed by Amayda)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16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Benchmark and comparative periods, rules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Delivered: 20-school-day minimum and non-overlap enforced at entry; the post-program timing expectation is applied at report review, where completion can actually be assessed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Signed speedometer, expanding to 150/200%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The working comparison gauge is delivered (B); the signed expanding dial is quoted in M6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18-21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 Types (multi-curriculum)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M1, agreed and commissioned; deposit invoice issued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22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Step-up MFA on content edits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M5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23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Sole-content-editor model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 per-user feature permission gate already exists (beyond-SOW); the exclusive editor lock is quoted in M5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24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Content audit log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M5; ST4S security posture is documented in the handover pack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25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Version numbers, updated-by, retention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M5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26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Role-based Getting Started videos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M8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27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"Other" school level with arbitrary grade mixes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M8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28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Rename Roles to Access Levels; show highest level only; sort arrows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 + C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All done at no charge: renamed throughout, one badge per user everywhere you asked, and the dead sort arrows were a defect, fixed with server-side sorting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29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Amayda access tier above Bullyproof Admin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M8 (as your letter also concludes)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30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School Licence account can add/edit users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Priced small in M8; happy to talk through at the Teams session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31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BP to BA rebrand, animated logo, icon variants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Goodwill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Committed at no charge in the Master Proposal ($8,062.50 value)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32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Certificate generation, downloadable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Delivered: PDF on your official artwork, downloadable from the course page and profile; verified 7 July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33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Uploadable/replaceable certificate template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Goodwill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Committed at no charge ($5,162.50 value); your supplied artwork is already live as the default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34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Four named reports with percentages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Baseline reports with CSV/PDF export are delivered (A/B); the four renamed report builds with percentage views are quoted in M4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35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Per-report filter panels, Excel, export scope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CSV and PDF export is delivered on every tab (A/B); filter panels, Excel and scope options are quoted in M4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36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Government stakeholder reporting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B + 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The view-only government dashboard with export is delivered and verified; expanded government reporting is quoted in M4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37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Exclude Bullyproof Academy from reports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Priced small in M4; happy to talk through at the Teams session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Onboarding service-step checklist with dates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M8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39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Address and email domain not saving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Fixed at no charge: reproduced, root-caused (saved values were not displayed back) and verified on your exact flow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40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Apply Template confirmation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Fixed at no charge: the school's Activation tab shows a green "Template active" card and the button changes to "Re-apply template"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41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 / Licence / Feature Access buttons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 + 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Licence and Feature Access are working, verified 7 July (C, no charge); the Activity timeline is a new feed, quoted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42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Student numbers on Add Class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Priced small in M8; the Student Numbers field and label are live everywhere else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43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Role-based school portal Home pages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M7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44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Remove Ctrl+K for schools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Done at no charge; platform staff retain it, school users never see it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45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Rename Content / Lessons pages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Done at no charge, including headers and breadcrumbs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46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Sidebar screen tips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Done at no charge with your wording, on hover in the normal sidebar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47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Reports page message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 + C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Message changed as asked; beyond that, the school Reports page is now a live reporting pack with export (delivered)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Course-level Start / Continue / Completed control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M7; per-topic states are delivered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49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Sortable teacher columns; extended take-over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M7; the existing take-over workflow is working (verified)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50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Classes star toggle (My / Other)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 and working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51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Teach Lessons blank screen; Back to lesson loop; history page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 + 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The blank screen and the Back loop were defects, fixed at no charge with the guidance panel built from your wording; the live lesson-history page build is quoted in M7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52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Start now vs Schedule unified flow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M7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53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Wrong recommendation for mixed levels; list capped at three; ordering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Fixed at no charge: correct per-class resolution, all lessons listed, levels ordered 1/2 through 12; verified 7 July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54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Start new calendar year reset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M7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55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Mandatory-rating note; default five stars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 + 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The note is live at no charge; defaulting to five stars is a product choice I would advise against (it biases the ratings data), priced as a small option if you want it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56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 page beyond culture rating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Quoted in M6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57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Settings renames (Users, Classes, Certification)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C + 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Every label rename is done at no charge (Access Levels, Student Numbers, one badge per user); the ability to rename certification content itself is new authoring functionality, quoted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58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Support mailto with CCs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 and working</w:t>
            </w:r>
          </w:p>
        </w:tc>
      </w:tr>
      <w:tr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59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School-admin report set with year selectors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D</w:t>
            </w:r>
          </w:p>
        </w:tc>
        <w:tc>
          <w:tcPr>
            <w:tcW w:type="dxa" w:w="2296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The school Reports page with the four report tables and export is delivered (beyond the SOW baseline); the named report builds and year selectors are quoted in M4</w:t>
            </w:r>
          </w:p>
        </w:tc>
      </w:tr>
      <w:tr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60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Admin User Guide and System Administrator Guide (Word)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B</w:t>
            </w:r>
          </w:p>
        </w:tc>
        <w:tc>
          <w:tcPr>
            <w:tcW w:type="dxa" w:w="2296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Delivered: the Administrator User Guide is in your UAT pack; the System Administrator Guide travels with the clause 6 handover set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Calibri" w:hAnsi="Calibri"/>
          <w:b/>
          <w:color w:val="008490"/>
          <w:sz w:val="31"/>
        </w:rPr>
        <w:t>Reading the totals</w:t>
      </w:r>
    </w:p>
    <w:p>
      <w:pPr>
        <w:pStyle w:val="ListBullet"/>
      </w:pPr>
      <w:r>
        <w:rPr>
          <w:b/>
        </w:rPr>
        <w:t>Category C is fully discharged</w:t>
      </w:r>
      <w:r>
        <w:t>: every defect above is fixed at no</w:t>
      </w:r>
    </w:p>
    <w:p>
      <w:r>
        <w:t>charge, plus seven further faults I found in my own completion testing and fixed the same way (listed in the Completion Register).</w:t>
      </w:r>
    </w:p>
    <w:p>
      <w:pPr>
        <w:pStyle w:val="ListBullet"/>
      </w:pPr>
      <w:r>
        <w:rPr>
          <w:b/>
        </w:rPr>
        <w:t>Categories A and B are delivered</w:t>
      </w:r>
      <w:r>
        <w:t>, not pending: verify any row in UAT</w:t>
      </w:r>
    </w:p>
    <w:p>
      <w:r>
        <w:t>today using the attached checklist.</w:t>
      </w:r>
    </w:p>
    <w:p>
      <w:pPr>
        <w:pStyle w:val="ListBullet"/>
      </w:pPr>
      <w:r>
        <w:rPr>
          <w:b/>
        </w:rPr>
        <w:t>Category D is the M2-M8 proposal</w:t>
      </w:r>
      <w:r>
        <w:t>, unchanged in price and content from</w:t>
      </w:r>
    </w:p>
    <w:p>
      <w:r>
        <w:t>5 July. Where a row above says "priced small" I am glad to look at it inside a bundle at the Teams session.</w:t>
      </w:r>
    </w:p>
    <w:p>
      <w:pPr>
        <w:pStyle w:val="ListBullet"/>
      </w:pPr>
      <w:r>
        <w:t>Two goodwill items (31, 33) remain committed at no charge, as per the</w:t>
      </w:r>
    </w:p>
    <w:p>
      <w:r>
        <w:t>Master Proposal.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247" w:right="1361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008490"/>
      </w:pBdr>
      <w:tabs>
        <w:tab w:val="clear" w:pos="4680"/>
        <w:tab w:pos="9184" w:val="right"/>
        <w:tab w:val="clear" w:pos="9360"/>
      </w:tabs>
    </w:pPr>
    <w:r/>
    <w:r>
      <w:rPr>
        <w:color w:val="6B7280"/>
        <w:sz w:val="16"/>
      </w:rPr>
      <w:t>Intradark Pty Ltd  ·  ABN 38 696 182 457  ·  Commercial in confidence</w:t>
    </w:r>
    <w:r>
      <w:rPr>
        <w:sz w:val="16"/>
      </w:rPr>
      <w:tab/>
    </w: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04875" cy="124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radark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240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