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rFonts w:ascii="Georgia" w:cs="Georgia" w:eastAsia="Georgia" w:hAnsi="Georgia"/>
          <w:b/>
          <w:bCs/>
          <w:color w:val="1E1B4B"/>
          <w:sz w:val="40"/>
          <w:szCs w:val="40"/>
        </w:rPr>
        <w:t xml:space="preserve">Sua Empresa Parou de Crescer? O Problema Pode Não Estar Nas Vendas — Está Na Visão de Caixa</w:t>
      </w:r>
    </w:p>
    <w:p>
      <w:pPr>
        <w:pBdr>
          <w:bottom w:val="single" w:color="818CF8" w:sz="4" w:space="12"/>
        </w:pBdr>
        <w:spacing w:after="80"/>
      </w:pPr>
      <w:r>
        <w:rPr>
          <w:rFonts w:ascii="Arial" w:cs="Arial" w:eastAsia="Arial" w:hAnsi="Arial"/>
          <w:b/>
          <w:bCs/>
          <w:color w:val="4338CA"/>
          <w:sz w:val="20"/>
          <w:szCs w:val="20"/>
        </w:rPr>
        <w:t xml:space="preserve">Estratégia Financeira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5 min de leitura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ControllerTech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Fevereiro 2026</w:t>
      </w:r>
    </w:p>
    <w:p>
      <w:pPr>
        <w:spacing w:after="300" w:before="300"/>
      </w:pPr>
      <w:r>
        <w:rPr>
          <w:rFonts w:ascii="Georgia" w:cs="Georgia" w:eastAsia="Georgia" w:hAnsi="Georgia"/>
          <w:i/>
          <w:iCs/>
          <w:color w:val="374151"/>
          <w:sz w:val="24"/>
          <w:szCs w:val="24"/>
        </w:rPr>
        <w:t xml:space="preserve">Vendas entrando mas crescimento travado? Descubra como visão estratégica de caixa — Runway, projeção de 90 dias e cenários — destrava o crescimento da sua empresa.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Quando uma empresa de serviços atinge um certo patamar de faturamento, uma coisa estranha começa a acontecer: as vendas continuam entrando, mas o crescimento empaca. O dono quer expandir, contratar, investir em marketing — mas não tem confiança para dar o passo.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Na maioria dos casos, o problema não é falta de demanda nem incompetência operacional. O problema é que o empresário não tem uma visão estratégica do seu caixa. Ele sabe quanto faturou no mês passado. Não sabe quanto terá de caixa livre nos próximos três meses. E essa diferença muda tudo.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4338CA"/>
          <w:sz w:val="30"/>
          <w:szCs w:val="30"/>
        </w:rPr>
        <w:t xml:space="preserve">O Paradoxo da Empresa Que Vende Bem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Existe um padrão que se repete com frequência entre empresas de serviços que faturam entre R$ 1,5 e R$ 3 milhões por ano: o negócio está funcionando, os clientes estão satisfeitos, a equipe está produzindo. Mas o empresário vive num estado de incerteza constante sobre o caixa.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"Quanto posso retirar como pró-labore este mês?" Não sabe.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"Se eu contratar mais um profissional, consigo absorver o custo em três meses?" Não sabe.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"Se o meu maior cliente cancelar, quantos meses de caixa eu tenho de sobrevivência?" Não sabe.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Essas são perguntas de </w:t>
      </w:r>
      <w:r>
        <w:rPr>
          <w:rFonts w:ascii="Georgia" w:cs="Georgia" w:eastAsia="Georgia" w:hAnsi="Georgia"/>
          <w:b/>
          <w:bCs/>
          <w:color w:val="1E1B4B"/>
          <w:sz w:val="23"/>
          <w:szCs w:val="23"/>
        </w:rPr>
        <w:t xml:space="preserve">Runway</w:t>
      </w:r>
      <w:r>
        <w:rPr>
          <w:rFonts w:ascii="Georgia" w:cs="Georgia" w:eastAsia="Georgia" w:hAnsi="Georgia"/>
          <w:color w:val="374151"/>
          <w:sz w:val="23"/>
          <w:szCs w:val="23"/>
        </w:rPr>
        <w:t xml:space="preserve"> — a métrica que determina por quantos meses sua empresa sobrevive com o caixa atual. Empresas que não conhecem seu Runway não estão gerenciando risco. Estão operando na fé.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4338CA"/>
          <w:sz w:val="30"/>
          <w:szCs w:val="30"/>
        </w:rPr>
        <w:t xml:space="preserve">O Que um CFO Estratégico Faz Que um Financeiro Operacional Não Faz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O financeiro operacional cuida do passado: contas pagas, receitas registradas, relatórios fechados. É essencial, mas é a base da pirâmide.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Um CFO estratégico — mesmo que terceirizado — atua no topo dessa pirâmide:</w:t>
      </w:r>
    </w:p>
    <w:p>
      <w:pPr>
        <w:spacing w:after="180"/>
        <w:ind w:left="360"/>
      </w:pPr>
      <w:r>
        <w:rPr>
          <w:rFonts w:ascii="Georgia" w:cs="Georgia" w:eastAsia="Georgia" w:hAnsi="Georgia"/>
          <w:b/>
          <w:bCs/>
          <w:color w:val="1E1B4B"/>
          <w:sz w:val="23"/>
          <w:szCs w:val="23"/>
        </w:rPr>
        <w:t xml:space="preserve">Projeção financeira de 90 dias.</w:t>
      </w:r>
      <w:r>
        <w:rPr>
          <w:rFonts w:ascii="Georgia" w:cs="Georgia" w:eastAsia="Georgia" w:hAnsi="Georgia"/>
          <w:color w:val="374151"/>
          <w:sz w:val="23"/>
          <w:szCs w:val="23"/>
        </w:rPr>
        <w:t xml:space="preserve"> Não é achismo. É modelagem baseada em dados reais — seu histórico, sazonalidade, compromissos fixos e variáveis — que mostra com precisão quanto você terá disponível, quando, e em que condições.</w:t>
      </w:r>
    </w:p>
    <w:p>
      <w:pPr>
        <w:spacing w:after="180"/>
        <w:ind w:left="360"/>
      </w:pPr>
      <w:r>
        <w:rPr>
          <w:rFonts w:ascii="Georgia" w:cs="Georgia" w:eastAsia="Georgia" w:hAnsi="Georgia"/>
          <w:b/>
          <w:bCs/>
          <w:color w:val="1E1B4B"/>
          <w:sz w:val="23"/>
          <w:szCs w:val="23"/>
        </w:rPr>
        <w:t xml:space="preserve">Cenários de decisão.</w:t>
      </w:r>
      <w:r>
        <w:rPr>
          <w:rFonts w:ascii="Georgia" w:cs="Georgia" w:eastAsia="Georgia" w:hAnsi="Georgia"/>
          <w:color w:val="374151"/>
          <w:sz w:val="23"/>
          <w:szCs w:val="23"/>
        </w:rPr>
        <w:t xml:space="preserve"> Quer abrir uma segunda unidade? O CFO modela três cenários (conservador, realista, agressivo) e mostra em que ponto cada um atinge o equilíbrio. Quer distribuir lucros? O CFO mostra exatamente quanto é seguro distribuir sem comprometer o capital de giro dos próximos dois trimestres.</w:t>
      </w:r>
    </w:p>
    <w:p>
      <w:pPr>
        <w:spacing w:after="180"/>
        <w:ind w:left="360"/>
      </w:pPr>
      <w:r>
        <w:rPr>
          <w:rFonts w:ascii="Georgia" w:cs="Georgia" w:eastAsia="Georgia" w:hAnsi="Georgia"/>
          <w:b/>
          <w:bCs/>
          <w:color w:val="1E1B4B"/>
          <w:sz w:val="23"/>
          <w:szCs w:val="23"/>
        </w:rPr>
        <w:t xml:space="preserve">Visão de Runway.</w:t>
      </w:r>
      <w:r>
        <w:rPr>
          <w:rFonts w:ascii="Georgia" w:cs="Georgia" w:eastAsia="Georgia" w:hAnsi="Georgia"/>
          <w:color w:val="374151"/>
          <w:sz w:val="23"/>
          <w:szCs w:val="23"/>
        </w:rPr>
        <w:t xml:space="preserve"> Saber que você tem oito meses de caixa livre não é um número bonito num dashboard. É a diferença entre negociar com um fornecedor de posição de força ou de desespero. É o que permite ao dono da empresa dormir tranquilo.</w:t>
      </w:r>
    </w:p>
    <w:p>
      <w:pPr>
        <w:spacing w:after="180"/>
        <w:ind w:left="360"/>
      </w:pPr>
      <w:r>
        <w:rPr>
          <w:rFonts w:ascii="Georgia" w:cs="Georgia" w:eastAsia="Georgia" w:hAnsi="Georgia"/>
          <w:b/>
          <w:bCs/>
          <w:color w:val="1E1B4B"/>
          <w:sz w:val="23"/>
          <w:szCs w:val="23"/>
        </w:rPr>
        <w:t xml:space="preserve">Proteção antecipada.</w:t>
      </w:r>
      <w:r>
        <w:rPr>
          <w:rFonts w:ascii="Georgia" w:cs="Georgia" w:eastAsia="Georgia" w:hAnsi="Georgia"/>
          <w:color w:val="374151"/>
          <w:sz w:val="23"/>
          <w:szCs w:val="23"/>
        </w:rPr>
        <w:t xml:space="preserve"> Com a reforma tributária e o split payment, empresas que não projetam fluxo de caixa vão ser pegas de surpresa. Um CFO estratégico já está modelando o impacto e ajustando o planejamento antes que a mudança entre em vigor.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4338CA"/>
          <w:sz w:val="30"/>
          <w:szCs w:val="30"/>
        </w:rPr>
        <w:t xml:space="preserve">A Estrutura de Multinacional Sem Inflar a Folha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Grandes empresas têm departamentos inteiros de FP&amp;A (Planejamento e Análise Financeira). Têm controllers, analistas, sistemas integrados. Uma PME não precisa — e não pode pagar — tudo isso.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Mas ela pode ter acesso à mesma inteligência. Um </w:t>
      </w:r>
      <w:r>
        <w:rPr>
          <w:rFonts w:ascii="Georgia" w:cs="Georgia" w:eastAsia="Georgia" w:hAnsi="Georgia"/>
          <w:b/>
          <w:bCs/>
          <w:color w:val="1E1B4B"/>
          <w:sz w:val="23"/>
          <w:szCs w:val="23"/>
        </w:rPr>
        <w:t xml:space="preserve">CFO as a Service</w:t>
      </w:r>
      <w:r>
        <w:rPr>
          <w:rFonts w:ascii="Georgia" w:cs="Georgia" w:eastAsia="Georgia" w:hAnsi="Georgia"/>
          <w:color w:val="374151"/>
          <w:sz w:val="23"/>
          <w:szCs w:val="23"/>
        </w:rPr>
        <w:t xml:space="preserve"> entrega a camada estratégica que antes só existia em multinacionais, com um modelo de custo que faz sentido para o porte da empresa. Sem CLT, sem passivo, sem inflar a folha.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E quando combinado com a camada operacional (BPO), o resultado é uma engenharia financeira completa: da conciliação diária à projeção trimestral, passando por auditoria de margem e modelagem de cenários. Tudo liderado por profissionais com mais de 20 anos de experiência em controladoria — do chão de fábrica financeiro ao comando estratégico.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4338CA"/>
          <w:sz w:val="30"/>
          <w:szCs w:val="30"/>
        </w:rPr>
        <w:t xml:space="preserve">O Perfil de Quem Precisa de CFO Estratégico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Geralmente são empresários que já resolveram o operacional — as contas são pagas, os relatórios existem — mas sentem que estão dirigindo com o retrovisor. Tomam decisões baseadas no que já aconteceu, não no que vai acontecer.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São donos de clínicas com três ou mais sócios que precisam definir distribuição de lucros com transparência. Escritórios de advocacia que querem expandir mas não sabem se o caixa aguenta. Empresas de serviços que batem no teto de crescimento e não entendem por quê.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Se você se pega pensando "vendo bem, mas não tenho segurança para investir" — o que falta não é mais vendas. É visão de caixa.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4338CA"/>
          <w:sz w:val="30"/>
          <w:szCs w:val="30"/>
        </w:rPr>
        <w:t xml:space="preserve">Decisão Com Dados, Não Com Feeling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No fim das contas, a função de um CFO estratégico é dar ao empresário algo que ele raramente tem: </w:t>
      </w:r>
      <w:r>
        <w:rPr>
          <w:rFonts w:ascii="Georgia" w:cs="Georgia" w:eastAsia="Georgia" w:hAnsi="Georgia"/>
          <w:b/>
          <w:bCs/>
          <w:color w:val="1E1B4B"/>
          <w:sz w:val="23"/>
          <w:szCs w:val="23"/>
        </w:rPr>
        <w:t xml:space="preserve">paz de espírito</w:t>
      </w:r>
      <w:r>
        <w:rPr>
          <w:rFonts w:ascii="Georgia" w:cs="Georgia" w:eastAsia="Georgia" w:hAnsi="Georgia"/>
          <w:color w:val="374151"/>
          <w:sz w:val="23"/>
          <w:szCs w:val="23"/>
        </w:rPr>
        <w:t xml:space="preserve">. A segurança de abrir o extrato e entender cada número. A confiança de tomar uma decisão grande sabendo que os dados sustentam a escolha. A tranquilidade de saber que não há vazamentos silenciosos no caixa.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Nossos clientes passam de "não sei se pago a folha" para 6 ou mais meses de caixa garantido. Esse é o tipo de transformação que muda não só a empresa — muda a qualidade de vida do empresário.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18CF8" w:sz="2"/>
              <w:left w:val="single" w:color="4338CA" w:sz="8"/>
              <w:bottom w:val="single" w:color="818CF8" w:sz="2"/>
              <w:right w:val="single" w:color="818CF8" w:sz="2"/>
            </w:tcBorders>
            <w:shd w:fill="EEF2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CFO AS A SERVICE</w:t>
            </w:r>
          </w:p>
          <w:p>
            <w:r>
              <w:rPr>
                <w:rFonts w:ascii="Georgia" w:cs="Georgia" w:eastAsia="Georgia" w:hAnsi="Georgia"/>
                <w:color w:val="1E1B4B"/>
                <w:sz w:val="22"/>
                <w:szCs w:val="22"/>
              </w:rPr>
              <w:t xml:space="preserve">Quanto de caixa livre você tem para os próximos 90 dias? Se não sabe responder, agende sua anamnese financeira gratuita.</w:t>
            </w:r>
          </w:p>
        </w:tc>
      </w:tr>
    </w:tbl>
    <w:p>
      <w:pPr>
        <w:spacing w:before="600"/>
      </w:pPr>
    </w:p>
    <w:p>
      <w:pPr>
        <w:pBdr>
          <w:top w:val="single" w:color="C7D2FE" w:sz="2" w:space="12"/>
        </w:pBdr>
        <w:spacing w:after="6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© 2025 ControllerTech. Todos os direitos reservados.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Desenvolvido por Synapse B2B | Plataformas Digitais arquitetadas em Engenharia de Receita.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FE" w:sz="1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FE" w:sz="2" w:space="4"/>
      </w:pBdr>
      <w:jc w:val="right"/>
    </w:pPr>
    <w:r>
      <w:rPr>
        <w:rFonts w:ascii="Arial" w:cs="Arial" w:eastAsia="Arial" w:hAnsi="Arial"/>
        <w:b/>
        <w:bCs/>
        <w:color w:val="4338CA"/>
        <w:sz w:val="16"/>
        <w:szCs w:val="16"/>
      </w:rPr>
      <w:t xml:space="preserve">ControllerTech </w:t>
    </w:r>
    <w:r>
      <w:rPr>
        <w:rFonts w:ascii="Arial" w:cs="Arial" w:eastAsia="Arial" w:hAnsi="Arial"/>
        <w:color w:val="6B7280"/>
        <w:sz w:val="16"/>
        <w:szCs w:val="16"/>
      </w:rPr>
      <w:t xml:space="preserve">| Blog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600"/>
      <w:outlineLvl w:val="0"/>
    </w:pPr>
    <w:rPr>
      <w:rFonts w:ascii="Georgia" w:cs="Georgia" w:eastAsia="Georgia" w:hAnsi="Georgia"/>
      <w:b/>
      <w:bCs/>
      <w:color w:val="1E1B4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Georgia" w:cs="Georgia" w:eastAsia="Georgia" w:hAnsi="Georgia"/>
      <w:b/>
      <w:bCs/>
      <w:color w:val="4338C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2026-03-10T13:47:49.908Z</dcterms:created>
  <dcterms:modified xsi:type="dcterms:W3CDTF">2026-03-10T13:47:49.908Z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