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1A1A"/>
          <w:sz w:val="60"/>
          <w:szCs w:val="60"/>
        </w:rPr>
        <w:t xml:space="preserve">FAST CLUB</w:t>
      </w:r>
      <w:r>
        <w:rPr>
          <w:rFonts w:ascii="Arial" w:cs="Arial" w:eastAsia="Arial" w:hAnsi="Arial"/>
          <w:b/>
          <w:bCs/>
          <w:color w:val="FF4D00"/>
          <w:sz w:val="60"/>
          <w:szCs w:val="60"/>
        </w:rPr>
        <w:t xml:space="preserve">.</w:t>
      </w:r>
    </w:p>
    <w:p>
      <w:pPr>
        <w:spacing w:after="0" w:before="2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FF4D00"/>
          <w:sz w:val="32"/>
          <w:szCs w:val="32"/>
        </w:rPr>
        <w:t xml:space="preserve">LÓGICA CONCEITUAL DO SITE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Estratégia de comunicação, jornada do usuário e arquitetura de persuasão</w:t>
      </w:r>
    </w:p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Documento interno  |  Synapse B2B  |  Março 2026</w:t>
      </w:r>
    </w:p>
    <w:p>
      <w:r>
        <w:br w:type="page"/>
      </w:r>
    </w:p>
    <w:p>
      <w:pPr>
        <w:pStyle w:val="Heading1"/>
      </w:pPr>
      <w:r>
        <w:t xml:space="preserve">1. Visão Geral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site fastclub.run é uma landing page de conversão para a assessoria de corrida online do treinador Wagner Figueiredo. A página única conduz o visitante por uma jornada emocional e racional, do desconhecimento à assinatura, em um fluxo contínuo de scroll.</w:t>
      </w:r>
    </w:p>
    <w:p>
      <w:pPr>
        <w:spacing w:after="0" w:before="80"/>
      </w:pP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OBJETIVO PRIMÁRIO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Converter visitantes em assinantes de um dos 3 planos mensais (Pace, Sprint ou Pro) via checkout Asaas.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OBJETIVO SECUNDÁRIO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Gerar contato via WhatsApp para dúvidas pré-venda (botão flutuante sempre visível).</w:t>
      </w:r>
    </w:p>
    <w:p>
      <w:pPr>
        <w:spacing w:after="80" w:before="40"/>
      </w:pPr>
      <w:r>
        <w:rPr>
          <w:rFonts w:ascii="Arial" w:cs="Arial" w:eastAsia="Arial" w:hAnsi="Arial"/>
          <w:b/>
          <w:bCs/>
          <w:color w:val="FF4D00"/>
          <w:sz w:val="18"/>
          <w:szCs w:val="18"/>
        </w:rPr>
        <w:t xml:space="preserve">PÚBLICO-ALVO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Pessoas de 25 a 55 anos que querem começar a correr, melhorar sua performance ou competir com método — priorizando o sedentário que busca transformação.</w:t>
      </w:r>
    </w:p>
    <w:p>
      <w:pPr>
        <w:spacing w:after="0" w:before="120"/>
      </w:pPr>
    </w:p>
    <w:p>
      <w:pPr>
        <w:pStyle w:val="Heading1"/>
      </w:pPr>
      <w:r>
        <w:t xml:space="preserve">2. Arquitetura de Persuasão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site segue o modelo AIDA (Atenção → Interesse → Desejo → Ação) distribuído em 12 seções sequenciais:</w:t>
      </w:r>
    </w:p>
    <w:p>
      <w:pPr>
        <w:spacing w:after="0" w:before="80"/>
      </w:pPr>
    </w:p>
    <w:p>
      <w:pPr>
        <w:pStyle w:val="Heading2"/>
      </w:pPr>
      <w:r>
        <w:t xml:space="preserve">Fase 1: ATENÇÃO (Hero)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seção hero provoca com uma dicotomia clara: “Sem Método, Você Só Cansa. Com Método, Você Evolui.” O visitante é confrontado com a dor (cansar sem resultado) e a promessa (evoluir com método). A prova social (“4.8 rating | 500+ membros”) reduz a barreira de confiança imediatamente.</w:t>
      </w:r>
    </w:p>
    <w:p>
      <w:pPr>
        <w:spacing w:after="0" w:before="80"/>
      </w:pPr>
    </w:p>
    <w:p>
      <w:pPr>
        <w:pStyle w:val="Heading2"/>
      </w:pPr>
      <w:r>
        <w:t xml:space="preserve">Fase 2: INTERESSE (Sobre + Como Funciona + Para Quem)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Três seções constroem credibilidade e identificação: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Sobre: Apresenta Wagner Figueiredo e seus 20+ anos de experiência, estabelecendo autoridade.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Como Funciona: Simplifica o processo em 4 passos claros, removendo a complexidade percebida.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Para Quem: Segmenta em 3 personas (Começar, Evoluir, Competir), fazendo o visitante se enxergar em uma delas.</w:t>
      </w:r>
    </w:p>
    <w:p>
      <w:pPr>
        <w:spacing w:after="0" w:before="80"/>
      </w:pPr>
    </w:p>
    <w:p>
      <w:pPr>
        <w:pStyle w:val="Heading2"/>
      </w:pPr>
      <w:r>
        <w:t xml:space="preserve">Fase 3: DESEJO (Benefícios + Performance + Depoimentos)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Três seções amplificam o desejo de compra: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Benefícios: 4 vantagens com linguagem emocional (Clareza, Motivação, Progresso, Resiliência).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Performance Insights: Reforça a integração com ferramentas do dia a dia (Strava, Garmin).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Depoimentos: 4 histórias reais com nome, modalidade e resultados concretos, gerando prova social específica.</w:t>
      </w:r>
    </w:p>
    <w:p>
      <w:pPr>
        <w:spacing w:after="0" w:before="80"/>
      </w:pPr>
    </w:p>
    <w:p>
      <w:pPr>
        <w:pStyle w:val="Heading2"/>
      </w:pPr>
      <w:r>
        <w:t xml:space="preserve">Fase 4: AÇÃO (Planos + FAQ + CTA)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Três seções fecham a conversão: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Planos: 3 opções com preço, features e CTA direto para checkout. Quiz interativo para indecisos.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FAQ: Remove as últimas objeções (cobrança, cancelamento, segurança, tempo de entrega).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CTA Final: Urgencia sutil com “hoje” e botão proeminente.</w:t>
      </w:r>
    </w:p>
    <w:p>
      <w:pPr>
        <w:spacing w:after="0" w:before="120"/>
      </w:pPr>
    </w:p>
    <w:p>
      <w:pPr>
        <w:pStyle w:val="Heading1"/>
      </w:pPr>
      <w:r>
        <w:t xml:space="preserve">3. Jornada do Usuário</w:t>
      </w:r>
    </w:p>
    <w:p>
      <w:pPr>
        <w:spacing w:after="0" w:before="80"/>
      </w:pPr>
    </w:p>
    <w:p>
      <w:pPr>
        <w:pStyle w:val="Heading2"/>
      </w:pPr>
      <w:r>
        <w:t xml:space="preserve">3.1 Fluxo Primário (Desktop)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Visitante chega via Instagram/Google → Hero com CTA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Scroll natural pelas seções de interesse e desejo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Chega nos Planos → Escolhe plano OU faz o Quiz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Clica “Assinar [Plano]” → Redirecionado para checkout Asaas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5. Paga (cartão/Pix/boleto) → Recebe confirmação</w:t>
      </w:r>
    </w:p>
    <w:p>
      <w:pPr>
        <w:spacing w:after="0" w:before="80"/>
      </w:pPr>
    </w:p>
    <w:p>
      <w:pPr>
        <w:pStyle w:val="Heading2"/>
      </w:pPr>
      <w:r>
        <w:t xml:space="preserve">3.2 Fluxo Secundário (Dúvida)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Visitante tem dúvida em qualquer ponto do site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Clica no botão flutuante do WhatsApp (sempre visível)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WhatsApp abre com mensagem pré-preenchida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Wagner/equipe responde e direciona para o plano ideal</w:t>
      </w:r>
    </w:p>
    <w:p>
      <w:pPr>
        <w:spacing w:after="0" w:before="80"/>
      </w:pPr>
    </w:p>
    <w:p>
      <w:pPr>
        <w:pStyle w:val="Heading2"/>
      </w:pPr>
      <w:r>
        <w:t xml:space="preserve">3.3 Fluxo Quiz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1. Visitante clica “Não sabe qual escolher? Faça o teste rápido”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2. Modal abre com 2 perguntas (autonomia + objetivo)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3. Algoritmo cruza respostas e recomenda o plano ideal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4. Botão “Assinar [Plano]” leva direto ao checkout Asaas</w:t>
      </w:r>
    </w:p>
    <w:p>
      <w:pPr>
        <w:spacing w:after="0" w:before="120"/>
      </w:pPr>
    </w:p>
    <w:p>
      <w:pPr>
        <w:pStyle w:val="Heading1"/>
      </w:pPr>
      <w:r>
        <w:t xml:space="preserve">4. Princípios de Copywriting</w:t>
      </w:r>
    </w:p>
    <w:p>
      <w:pPr>
        <w:spacing w:after="0" w:before="80"/>
      </w:pPr>
    </w:p>
    <w:p>
      <w:pPr>
        <w:pStyle w:val="Heading2"/>
      </w:pPr>
      <w:r>
        <w:t xml:space="preserve">4.1 Padrão de Headings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Todos os H2 seguem o padrão: frase de contexto em branco + frase de ação em laranja (#FF4D00). A parte laranja sempre contém o verbo ou a promessa central. Máximo de 2 linhas por heading.</w:t>
      </w:r>
    </w:p>
    <w:p>
      <w:pPr>
        <w:spacing w:after="0" w:before="80"/>
      </w:pPr>
    </w:p>
    <w:p>
      <w:pPr>
        <w:pStyle w:val="Heading2"/>
      </w:pPr>
      <w:r>
        <w:t xml:space="preserve">4.2 Tom de Voz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Direto e confiante, sem ser agressivo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Inclusivo: “para quem quer”, “todas as pessoas”, “do sedentário ao competidor”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Orientado a transformação, não a promessas irreais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Evita termos jurídicos arriscados: nunca diz “sem lesão”, “ilimitado” ou “garantido”</w:t>
      </w:r>
    </w:p>
    <w:p>
      <w:pPr>
        <w:spacing w:after="0" w:before="80"/>
      </w:pPr>
    </w:p>
    <w:p>
      <w:pPr>
        <w:pStyle w:val="Heading2"/>
      </w:pPr>
      <w:r>
        <w:t xml:space="preserve">4.3 Gatilhos Utilizados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Autoridade: 20+ anos de experiência do Wagner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Prova Social: 4 depoimentos com nome, modalidade e resultado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Escassez percebida: “a decisão certa hoje”, “hoje” no CTA final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Simplificação: 4 passos, quiz de 2 perguntas, cancelamento fácil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Remoção de risco: sem fidelidade, cancelamento por WhatsApp, 48h para receber</w:t>
      </w:r>
    </w:p>
    <w:p>
      <w:pPr>
        <w:spacing w:after="0" w:before="120"/>
      </w:pPr>
    </w:p>
    <w:p>
      <w:pPr>
        <w:pStyle w:val="Heading1"/>
      </w:pPr>
      <w:r>
        <w:t xml:space="preserve">5. Hierarquia de CTAs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site possui 4 pontos de conversão distribuídos estrategicamente: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8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Local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Texto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Destino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4D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Header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Começar Agora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Ancora #pricing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Acesso rápido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Começar Agora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Ancora #pricing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Primeiro impulso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Planos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Assinar [Plano]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Checkout Asaas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Conversão final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CTA Final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Começar Agora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Ancora #pricing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Resgate do indeciso</w:t>
            </w:r>
          </w:p>
        </w:tc>
      </w:tr>
    </w:tbl>
    <w:p>
      <w:pPr>
        <w:spacing w:after="0" w:before="120"/>
      </w:pPr>
    </w:p>
    <w:p>
      <w:pPr>
        <w:pStyle w:val="Heading1"/>
      </w:pPr>
      <w:r>
        <w:t xml:space="preserve">6. Estratégia de Precificação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estrutura de 3 planos segue o padrão “Good / Better / Best” com ancoragem no plano intermediário (Sprint):</w:t>
      </w:r>
    </w:p>
    <w:p>
      <w:pPr>
        <w:spacing w:after="0" w:before="8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Pace (R$79): Âncora inferior — para quem quer testar o método. Valida o produto.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Sprint (R$149): Plano principal — marcado como “Mais Popular”, recomendado pelo quiz na maioria dos cenários. Melhor custo-benefício percebido.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 (R$249): Âncora superior — para competidores. Faz o Sprint parecer acessível.</w:t>
      </w:r>
    </w:p>
    <w:p>
      <w:pPr>
        <w:spacing w:after="0" w:before="80"/>
      </w:pP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Todos os planos são recorrentes (mensais), sem fidelidade. O checkout é feito via Asaas com suporte a cartão, Pix e boleto.</w:t>
      </w:r>
    </w:p>
    <w:p>
      <w:pPr>
        <w:spacing w:after="0" w:before="120"/>
      </w:pPr>
    </w:p>
    <w:p>
      <w:pPr>
        <w:pStyle w:val="Heading1"/>
      </w:pPr>
      <w:r>
        <w:t xml:space="preserve">7. Identidade Visual no Site</w:t>
      </w:r>
    </w:p>
    <w:p>
      <w:pPr>
        <w:spacing w:after="0" w:before="80"/>
      </w:pPr>
    </w:p>
    <w:p>
      <w:pPr>
        <w:pStyle w:val="Heading2"/>
      </w:pPr>
      <w:r>
        <w:t xml:space="preserve">7.1 Paleta de Cores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Primária: #FF4D00 (Laranja) — CTAs, destaques de heading, ponto do logo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Fundo principal: #000000 / #050505 (Preto) — Sofão e premium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Texto: #FFFFFF (Branco) sobre fundos escuros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Texto secundário: rgba(255,255,255,0.6) — Parágrafos e descrições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Seções claras: #FAFAFA (Cinza quase branco) — Alternância de contraste</w:t>
      </w:r>
    </w:p>
    <w:p>
      <w:pPr>
        <w:spacing w:after="0" w:before="80"/>
      </w:pPr>
    </w:p>
    <w:p>
      <w:pPr>
        <w:pStyle w:val="Heading2"/>
      </w:pPr>
      <w:r>
        <w:t xml:space="preserve">7.2 Tipografia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Fonte única: Inter (Google Fonts) com display swap. Pesos utilizados: Regular (400), Medium (500), Bold (700). Tamanhos responsivos via clamp() para fluid typography.</w:t>
      </w:r>
    </w:p>
    <w:p>
      <w:pPr>
        <w:spacing w:after="0" w:before="80"/>
      </w:pPr>
    </w:p>
    <w:p>
      <w:pPr>
        <w:pStyle w:val="Heading2"/>
      </w:pPr>
      <w:r>
        <w:t xml:space="preserve">7.3 Layout</w:t>
      </w:r>
    </w:p>
    <w:p>
      <w:pPr>
        <w:spacing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Design escuro (dark-first) com seções alternando entre fundo preto e branco/cinza. Container máximo de 1800px para hero e 1400px para conteúdo. Espaçamento generoso (py-24 a py-32) entre seções.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1" w:space="8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fastclub.run</w:t>
    </w:r>
    <w:r>
      <w:rPr>
        <w:rFonts w:ascii="Arial" w:cs="Arial" w:eastAsia="Arial" w:hAnsi="Arial"/>
        <w:color w:val="DDDDDD"/>
        <w:sz w:val="16"/>
        <w:szCs w:val="16"/>
      </w:rPr>
      <w:t xml:space="preserve">  |  </w:t>
    </w:r>
    <w:r>
      <w:rPr>
        <w:rFonts w:ascii="Arial" w:cs="Arial" w:eastAsia="Arial" w:hAnsi="Arial"/>
        <w:color w:val="666666"/>
        <w:sz w:val="16"/>
        <w:szCs w:val="16"/>
      </w:rPr>
      <w:t xml:space="preserve">Synapse B2B</w:t>
    </w:r>
    <w:r>
      <w:rPr>
        <w:rFonts w:ascii="Arial" w:cs="Arial" w:eastAsia="Arial" w:hAnsi="Arial"/>
        <w:color w:val="666666"/>
        <w:sz w:val="16"/>
        <w:szCs w:val="16"/>
      </w:rPr>
      <w:t xml:space="preserve">  |  Pg.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4D00" w:sz="6" w:space="8"/>
      </w:pBdr>
      <w:spacing w:after="0"/>
    </w:pPr>
    <w:r>
      <w:rPr>
        <w:rFonts w:ascii="Arial" w:cs="Arial" w:eastAsia="Arial" w:hAnsi="Arial"/>
        <w:b/>
        <w:bCs/>
        <w:color w:val="1A1A1A"/>
        <w:sz w:val="16"/>
        <w:szCs w:val="16"/>
      </w:rPr>
      <w:t xml:space="preserve">FAST CLUB</w:t>
    </w:r>
    <w:r>
      <w:rPr>
        <w:rFonts w:ascii="Arial" w:cs="Arial" w:eastAsia="Arial" w:hAnsi="Arial"/>
        <w:b/>
        <w:bCs/>
        <w:color w:val="FF4D00"/>
        <w:sz w:val="16"/>
        <w:szCs w:val="16"/>
      </w:rPr>
      <w:t xml:space="preserve">.</w:t>
    </w:r>
    <w:r>
      <w:rPr>
        <w:rFonts w:ascii="Arial" w:cs="Arial" w:eastAsia="Arial" w:hAnsi="Arial"/>
        <w:color w:val="666666"/>
        <w:sz w:val="16"/>
        <w:szCs w:val="16"/>
      </w:rPr>
      <w:t xml:space="preserve">  |  Lógica Conceitual do Site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FF4D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2026-03-11T16:31:15.557Z</dcterms:created>
  <dcterms:modified xsi:type="dcterms:W3CDTF">2026-03-11T16:31:15.557Z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