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  <w:gridCol w:w="992"/>
        <w:gridCol w:w="993"/>
        <w:gridCol w:w="992"/>
        <w:gridCol w:w="1276"/>
        <w:gridCol w:w="1417"/>
      </w:tblGrid>
      <w:tr w:rsidR="007315DC" w:rsidRPr="00B655D9" w14:paraId="6E6939AC" w14:textId="77777777" w:rsidTr="00B70EF9">
        <w:trPr>
          <w:cantSplit/>
          <w:trHeight w:val="340"/>
        </w:trPr>
        <w:tc>
          <w:tcPr>
            <w:tcW w:w="5529" w:type="dxa"/>
            <w:shd w:val="clear" w:color="auto" w:fill="808080"/>
            <w:vAlign w:val="center"/>
          </w:tcPr>
          <w:p w14:paraId="4556BE52" w14:textId="35449451" w:rsidR="007315DC" w:rsidRPr="00B655D9" w:rsidRDefault="001B5104" w:rsidP="005602BA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bookmarkStart w:id="0" w:name="_Hlk191554077"/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>T</w:t>
            </w:r>
            <w:r w:rsidR="00A476D3" w:rsidRPr="00A476D3">
              <w:rPr>
                <w:rFonts w:ascii="Arial" w:hAnsi="Arial"/>
                <w:b/>
                <w:color w:val="FFFFFF"/>
                <w:sz w:val="28"/>
                <w:szCs w:val="28"/>
              </w:rPr>
              <w:t>AVI Workup Summary</w:t>
            </w:r>
            <w:r w:rsidR="00574026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and Multidisciplinary Structural Heart Team</w:t>
            </w:r>
          </w:p>
        </w:tc>
        <w:tc>
          <w:tcPr>
            <w:tcW w:w="5670" w:type="dxa"/>
            <w:gridSpan w:val="5"/>
          </w:tcPr>
          <w:p w14:paraId="2BD03AB7" w14:textId="7852B02A" w:rsidR="007315DC" w:rsidRPr="00B655D9" w:rsidRDefault="0020604E" w:rsidP="00B70EF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173D2A87" wp14:editId="2CBDF59C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61018</wp:posOffset>
                  </wp:positionV>
                  <wp:extent cx="2529205" cy="739775"/>
                  <wp:effectExtent l="0" t="0" r="4445" b="3175"/>
                  <wp:wrapTight wrapText="bothSides">
                    <wp:wrapPolygon edited="0">
                      <wp:start x="0" y="0"/>
                      <wp:lineTo x="0" y="21136"/>
                      <wp:lineTo x="21475" y="21136"/>
                      <wp:lineTo x="21475" y="0"/>
                      <wp:lineTo x="0" y="0"/>
                    </wp:wrapPolygon>
                  </wp:wrapTight>
                  <wp:docPr id="160043810" name="Picture 1" descr="Royal North Shore Hospital Commercial Furniture Project | Commercial Sofa  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yal North Shore Hospital Commercial Furniture Project | Commercial Sofa  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20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6D3" w:rsidRPr="00B655D9" w14:paraId="1D6E420E" w14:textId="77777777" w:rsidTr="00202B67">
        <w:trPr>
          <w:cantSplit/>
          <w:trHeight w:val="258"/>
        </w:trPr>
        <w:tc>
          <w:tcPr>
            <w:tcW w:w="5529" w:type="dxa"/>
            <w:shd w:val="clear" w:color="auto" w:fill="CCCCCC"/>
            <w:vAlign w:val="center"/>
          </w:tcPr>
          <w:p w14:paraId="27908EA7" w14:textId="7124D086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Referral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 xml:space="preserve"> Date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  <w:r w:rsidR="000310AD">
              <w:rPr>
                <w:rFonts w:ascii="Arial" w:hAnsi="Arial"/>
                <w:b/>
                <w:bCs/>
                <w:sz w:val="20"/>
                <w:szCs w:val="20"/>
              </w:rPr>
              <w:t>28/5/25</w:t>
            </w:r>
          </w:p>
        </w:tc>
        <w:tc>
          <w:tcPr>
            <w:tcW w:w="5670" w:type="dxa"/>
            <w:gridSpan w:val="5"/>
            <w:shd w:val="clear" w:color="auto" w:fill="CCCCCC"/>
            <w:vAlign w:val="center"/>
          </w:tcPr>
          <w:p w14:paraId="55D6685B" w14:textId="2931B9A2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Physician: </w:t>
            </w:r>
            <w:r w:rsidR="000310AD">
              <w:rPr>
                <w:rFonts w:ascii="Arial" w:hAnsi="Arial"/>
                <w:b/>
                <w:bCs/>
                <w:sz w:val="20"/>
                <w:szCs w:val="20"/>
              </w:rPr>
              <w:t>Bhindi</w:t>
            </w:r>
          </w:p>
        </w:tc>
      </w:tr>
      <w:tr w:rsidR="00BE7264" w:rsidRPr="00B655D9" w14:paraId="23665C64" w14:textId="77777777" w:rsidTr="00202B67">
        <w:trPr>
          <w:cantSplit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25" w14:textId="1C02007E" w:rsidR="00BE7264" w:rsidRPr="00B655D9" w:rsidRDefault="00BE726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Name: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0310AD">
              <w:rPr>
                <w:rFonts w:ascii="Arial" w:hAnsi="Arial"/>
                <w:sz w:val="20"/>
                <w:szCs w:val="20"/>
              </w:rPr>
              <w:t xml:space="preserve">Sandra Clark 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6CBB9D" w14:textId="40504B21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Referrer: </w:t>
            </w:r>
            <w:r w:rsidR="000310AD">
              <w:rPr>
                <w:rFonts w:ascii="Arial" w:hAnsi="Arial"/>
                <w:sz w:val="20"/>
                <w:szCs w:val="20"/>
              </w:rPr>
              <w:t>F. Touma</w:t>
            </w:r>
          </w:p>
        </w:tc>
      </w:tr>
      <w:tr w:rsidR="00BE7264" w:rsidRPr="00B655D9" w14:paraId="71FC1CD6" w14:textId="77777777" w:rsidTr="00202B67">
        <w:trPr>
          <w:cantSplit/>
        </w:trPr>
        <w:tc>
          <w:tcPr>
            <w:tcW w:w="55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727CD35D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DOB: </w:t>
            </w:r>
            <w:r w:rsidR="000310AD">
              <w:rPr>
                <w:rFonts w:ascii="Arial" w:hAnsi="Arial"/>
                <w:sz w:val="20"/>
                <w:szCs w:val="20"/>
              </w:rPr>
              <w:t>29/10/48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1230B77E" w14:textId="7BB6003E" w:rsidR="00BE7264" w:rsidRPr="00B655D9" w:rsidRDefault="00A476D3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Contact Details: </w:t>
            </w:r>
            <w:r w:rsidR="000310AD">
              <w:rPr>
                <w:rFonts w:ascii="Arial" w:hAnsi="Arial"/>
                <w:sz w:val="20"/>
                <w:szCs w:val="20"/>
              </w:rPr>
              <w:t>0419018928</w:t>
            </w:r>
          </w:p>
        </w:tc>
      </w:tr>
      <w:tr w:rsidR="005602BA" w:rsidRPr="00B655D9" w14:paraId="0BA5EEBC" w14:textId="77777777" w:rsidTr="00202B67">
        <w:trPr>
          <w:cantSplit/>
        </w:trPr>
        <w:tc>
          <w:tcPr>
            <w:tcW w:w="55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B2331" w14:textId="1AEA74BD" w:rsidR="005602BA" w:rsidRPr="00B655D9" w:rsidRDefault="000555B5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M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RN: </w:t>
            </w:r>
            <w:r w:rsidR="000310AD" w:rsidRPr="000310AD">
              <w:rPr>
                <w:rFonts w:ascii="Arial" w:hAnsi="Arial"/>
                <w:sz w:val="20"/>
                <w:szCs w:val="20"/>
              </w:rPr>
              <w:t>1135610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</w:tcPr>
          <w:p w14:paraId="2AB20CE8" w14:textId="7BDB9E3F" w:rsidR="00CE4774" w:rsidRPr="00B655D9" w:rsidRDefault="00574026" w:rsidP="0027006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: </w:t>
            </w:r>
            <w:r w:rsidR="000310AD">
              <w:rPr>
                <w:rFonts w:ascii="Arial" w:hAnsi="Arial"/>
                <w:sz w:val="20"/>
                <w:szCs w:val="20"/>
              </w:rPr>
              <w:t>sandiht57@gmail.com</w:t>
            </w:r>
          </w:p>
        </w:tc>
      </w:tr>
      <w:tr w:rsidR="005602BA" w:rsidRPr="00B655D9" w14:paraId="6210B775" w14:textId="77777777" w:rsidTr="00202B67">
        <w:trPr>
          <w:cantSplit/>
          <w:trHeight w:val="454"/>
        </w:trPr>
        <w:tc>
          <w:tcPr>
            <w:tcW w:w="55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440A3787" w:rsidR="005602BA" w:rsidRPr="00B655D9" w:rsidRDefault="00D4642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Age:</w:t>
            </w:r>
            <w:r w:rsidR="00B06EF1">
              <w:rPr>
                <w:rFonts w:ascii="Arial" w:hAnsi="Arial"/>
                <w:sz w:val="20"/>
                <w:szCs w:val="20"/>
              </w:rPr>
              <w:t xml:space="preserve"> </w:t>
            </w:r>
            <w:r w:rsidR="000310AD">
              <w:rPr>
                <w:rFonts w:ascii="Arial" w:hAnsi="Arial"/>
                <w:sz w:val="20"/>
                <w:szCs w:val="20"/>
              </w:rPr>
              <w:t>76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  <w:vAlign w:val="center"/>
          </w:tcPr>
          <w:p w14:paraId="4320F2D5" w14:textId="502EC37D" w:rsidR="00286FAE" w:rsidRPr="00B655D9" w:rsidRDefault="00B06EF1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Weight:</w:t>
            </w:r>
            <w:r w:rsidR="00601BD1">
              <w:rPr>
                <w:rFonts w:ascii="Arial" w:hAnsi="Arial"/>
                <w:sz w:val="20"/>
                <w:szCs w:val="20"/>
              </w:rPr>
              <w:t xml:space="preserve"> 115kg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D1ED0">
              <w:rPr>
                <w:rFonts w:ascii="Arial" w:hAnsi="Arial"/>
                <w:sz w:val="20"/>
                <w:szCs w:val="20"/>
              </w:rPr>
              <w:t xml:space="preserve"> Height:</w:t>
            </w:r>
            <w:r w:rsidR="00601BD1">
              <w:rPr>
                <w:rFonts w:ascii="Arial" w:hAnsi="Arial"/>
                <w:sz w:val="20"/>
                <w:szCs w:val="20"/>
              </w:rPr>
              <w:t xml:space="preserve"> 173cm</w:t>
            </w:r>
          </w:p>
        </w:tc>
      </w:tr>
      <w:tr w:rsidR="00A476D3" w:rsidRPr="00B655D9" w14:paraId="6E6CECD0" w14:textId="77777777" w:rsidTr="00202B67">
        <w:trPr>
          <w:cantSplit/>
          <w:trHeight w:val="367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5DA6768B" w14:textId="77777777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1" w:name="_Hlk191550783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1FD2A0BB" w14:textId="63307AA1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Medications</w:t>
            </w:r>
          </w:p>
        </w:tc>
      </w:tr>
      <w:tr w:rsidR="00A476D3" w:rsidRPr="00B655D9" w14:paraId="3F56DE00" w14:textId="77777777" w:rsidTr="00202B67">
        <w:trPr>
          <w:cantSplit/>
          <w:trHeight w:val="983"/>
        </w:trPr>
        <w:tc>
          <w:tcPr>
            <w:tcW w:w="5529" w:type="dxa"/>
          </w:tcPr>
          <w:p w14:paraId="191D6014" w14:textId="77777777" w:rsidR="000310AD" w:rsidRPr="000310AD" w:rsidRDefault="000310AD" w:rsidP="000310AD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 w:rsidRPr="000310AD">
              <w:rPr>
                <w:rFonts w:ascii="Arial" w:hAnsi="Arial"/>
                <w:sz w:val="20"/>
                <w:szCs w:val="20"/>
                <w:lang w:val="en-AU"/>
              </w:rPr>
              <w:t>T2DM</w:t>
            </w:r>
          </w:p>
          <w:p w14:paraId="16FB91C5" w14:textId="77777777" w:rsidR="000310AD" w:rsidRPr="000310AD" w:rsidRDefault="000310AD" w:rsidP="000310AD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 w:rsidRPr="000310AD">
              <w:rPr>
                <w:rFonts w:ascii="Arial" w:hAnsi="Arial"/>
                <w:sz w:val="20"/>
                <w:szCs w:val="20"/>
                <w:lang w:val="en-AU"/>
              </w:rPr>
              <w:t>HTN</w:t>
            </w:r>
          </w:p>
          <w:p w14:paraId="4C13F660" w14:textId="77777777" w:rsidR="000310AD" w:rsidRPr="000310AD" w:rsidRDefault="000310AD" w:rsidP="000310AD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 w:rsidRPr="000310AD">
              <w:rPr>
                <w:rFonts w:ascii="Arial" w:hAnsi="Arial"/>
                <w:sz w:val="20"/>
                <w:szCs w:val="20"/>
                <w:lang w:val="en-AU"/>
              </w:rPr>
              <w:t>Hypercholesterolaemia</w:t>
            </w:r>
          </w:p>
          <w:p w14:paraId="34DFA97A" w14:textId="2F8179C1" w:rsidR="000310AD" w:rsidRDefault="000310AD" w:rsidP="000310AD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 w:rsidRPr="000310AD">
              <w:rPr>
                <w:rFonts w:ascii="Arial" w:hAnsi="Arial"/>
                <w:sz w:val="20"/>
                <w:szCs w:val="20"/>
                <w:lang w:val="en-AU"/>
              </w:rPr>
              <w:t xml:space="preserve">Protein C deficiency with previous </w:t>
            </w:r>
            <w:r w:rsidR="000C6B05">
              <w:rPr>
                <w:rFonts w:ascii="Arial" w:hAnsi="Arial"/>
                <w:sz w:val="20"/>
                <w:szCs w:val="20"/>
                <w:lang w:val="en-AU"/>
              </w:rPr>
              <w:t xml:space="preserve">PE/DVT </w:t>
            </w:r>
            <w:r w:rsidR="009625FB">
              <w:rPr>
                <w:rFonts w:ascii="Arial" w:hAnsi="Arial"/>
                <w:sz w:val="20"/>
                <w:szCs w:val="20"/>
                <w:lang w:val="en-AU"/>
              </w:rPr>
              <w:t>(warfarin)</w:t>
            </w:r>
          </w:p>
          <w:p w14:paraId="5AD42896" w14:textId="36A767BD" w:rsidR="000310AD" w:rsidRDefault="000310AD" w:rsidP="000310AD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 xml:space="preserve">Left sided hearing loss </w:t>
            </w:r>
          </w:p>
          <w:p w14:paraId="1BC1D8C8" w14:textId="43E0D82F" w:rsidR="009625FB" w:rsidRPr="000310AD" w:rsidRDefault="009625FB" w:rsidP="000310AD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 xml:space="preserve">OSA (does not tolerate CPAP) </w:t>
            </w:r>
          </w:p>
          <w:p w14:paraId="77102246" w14:textId="7C677133" w:rsidR="002360FF" w:rsidRPr="002D6EF6" w:rsidRDefault="000310AD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Vestibular issues (balance) </w:t>
            </w:r>
          </w:p>
        </w:tc>
        <w:tc>
          <w:tcPr>
            <w:tcW w:w="5670" w:type="dxa"/>
            <w:gridSpan w:val="5"/>
          </w:tcPr>
          <w:p w14:paraId="5E6F6046" w14:textId="77777777" w:rsidR="000310AD" w:rsidRPr="000310AD" w:rsidRDefault="000310AD" w:rsidP="000310AD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 w:rsidRPr="000310AD">
              <w:rPr>
                <w:rFonts w:ascii="Arial" w:hAnsi="Arial"/>
                <w:sz w:val="20"/>
                <w:szCs w:val="20"/>
                <w:lang w:val="x-none"/>
              </w:rPr>
              <w:t>Optisulin</w:t>
            </w:r>
            <w:proofErr w:type="spellEnd"/>
            <w:r w:rsidRPr="000310AD">
              <w:rPr>
                <w:rFonts w:ascii="Arial" w:hAnsi="Arial"/>
                <w:sz w:val="20"/>
                <w:szCs w:val="20"/>
                <w:lang w:val="x-none"/>
              </w:rPr>
              <w:t xml:space="preserve"> 16u BD</w:t>
            </w:r>
          </w:p>
          <w:p w14:paraId="71CD4341" w14:textId="77777777" w:rsidR="000310AD" w:rsidRPr="000310AD" w:rsidRDefault="000310AD" w:rsidP="000310AD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0310AD">
              <w:rPr>
                <w:rFonts w:ascii="Arial" w:hAnsi="Arial"/>
                <w:sz w:val="20"/>
                <w:szCs w:val="20"/>
                <w:lang w:val="x-none"/>
              </w:rPr>
              <w:t>Jardiance 10mg mane</w:t>
            </w:r>
          </w:p>
          <w:p w14:paraId="6A9A0F0B" w14:textId="77777777" w:rsidR="000310AD" w:rsidRPr="000310AD" w:rsidRDefault="000310AD" w:rsidP="000310AD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0310AD">
              <w:rPr>
                <w:rFonts w:ascii="Arial" w:hAnsi="Arial"/>
                <w:sz w:val="20"/>
                <w:szCs w:val="20"/>
                <w:lang w:val="x-none"/>
              </w:rPr>
              <w:t>Levothyroxine</w:t>
            </w:r>
          </w:p>
          <w:p w14:paraId="334011B5" w14:textId="77777777" w:rsidR="000310AD" w:rsidRPr="000310AD" w:rsidRDefault="000310AD" w:rsidP="000310AD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0310AD">
              <w:rPr>
                <w:rFonts w:ascii="Arial" w:hAnsi="Arial"/>
                <w:sz w:val="20"/>
                <w:szCs w:val="20"/>
                <w:lang w:val="x-none"/>
              </w:rPr>
              <w:t>Warfarin</w:t>
            </w:r>
          </w:p>
          <w:p w14:paraId="3BF41822" w14:textId="77777777" w:rsidR="000310AD" w:rsidRPr="000310AD" w:rsidRDefault="000310AD" w:rsidP="000310AD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0310AD">
              <w:rPr>
                <w:rFonts w:ascii="Arial" w:hAnsi="Arial"/>
                <w:sz w:val="20"/>
                <w:szCs w:val="20"/>
                <w:lang w:val="x-none"/>
              </w:rPr>
              <w:t>Pravastatin</w:t>
            </w:r>
          </w:p>
          <w:p w14:paraId="5B53F7D0" w14:textId="1E4E9FDA" w:rsidR="008D759F" w:rsidRPr="00DD4459" w:rsidRDefault="000310AD" w:rsidP="000310AD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0310AD">
              <w:rPr>
                <w:rFonts w:ascii="Arial" w:hAnsi="Arial"/>
                <w:sz w:val="20"/>
                <w:szCs w:val="20"/>
                <w:lang w:val="x-none"/>
              </w:rPr>
              <w:t>Telmisartan/amlodipine 80/5 mane</w:t>
            </w:r>
          </w:p>
        </w:tc>
      </w:tr>
      <w:tr w:rsidR="00A476D3" w:rsidRPr="00B655D9" w14:paraId="1AB60BB9" w14:textId="77777777" w:rsidTr="00202B67">
        <w:trPr>
          <w:cantSplit/>
          <w:trHeight w:val="369"/>
        </w:trPr>
        <w:tc>
          <w:tcPr>
            <w:tcW w:w="5529" w:type="dxa"/>
            <w:shd w:val="clear" w:color="auto" w:fill="D9D9D9" w:themeFill="background1" w:themeFillShade="D9"/>
          </w:tcPr>
          <w:p w14:paraId="7548CCFE" w14:textId="56D166CF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>Social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</w:tcPr>
          <w:p w14:paraId="04ED3279" w14:textId="799AF68E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 xml:space="preserve">Functional Status </w:t>
            </w:r>
          </w:p>
        </w:tc>
      </w:tr>
      <w:tr w:rsidR="00A476D3" w:rsidRPr="00B655D9" w14:paraId="009F130A" w14:textId="77777777" w:rsidTr="00202B67">
        <w:trPr>
          <w:cantSplit/>
          <w:trHeight w:val="982"/>
        </w:trPr>
        <w:tc>
          <w:tcPr>
            <w:tcW w:w="5529" w:type="dxa"/>
          </w:tcPr>
          <w:p w14:paraId="39F3FDA9" w14:textId="154D2E98" w:rsidR="002360FF" w:rsidRDefault="000310AD" w:rsidP="000310AD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Lives at home in retirement village (independent living) </w:t>
            </w:r>
          </w:p>
          <w:p w14:paraId="2F302A65" w14:textId="557E324E" w:rsidR="000310AD" w:rsidRDefault="000310AD" w:rsidP="000310AD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x2 daughters, not close by </w:t>
            </w:r>
          </w:p>
          <w:p w14:paraId="6220ACEC" w14:textId="77777777" w:rsidR="000310AD" w:rsidRDefault="000310AD" w:rsidP="000310AD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Independent ADLs</w:t>
            </w:r>
          </w:p>
          <w:p w14:paraId="3EEE34F7" w14:textId="78EADC53" w:rsidR="000310AD" w:rsidRDefault="000310AD" w:rsidP="000310AD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Mobilises 4WW outside of the home, issues with balance </w:t>
            </w:r>
          </w:p>
          <w:p w14:paraId="0871EC80" w14:textId="6B5E0E6D" w:rsidR="000310AD" w:rsidRDefault="000310AD" w:rsidP="000310AD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Non-smoker, no ETOH </w:t>
            </w:r>
          </w:p>
          <w:p w14:paraId="3CAF9056" w14:textId="4EF953DA" w:rsidR="000310AD" w:rsidRPr="000310AD" w:rsidRDefault="000310AD" w:rsidP="000310AD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Services: domestic cleaning once a month, has level 2 HCP </w:t>
            </w:r>
          </w:p>
        </w:tc>
        <w:tc>
          <w:tcPr>
            <w:tcW w:w="5670" w:type="dxa"/>
            <w:gridSpan w:val="5"/>
          </w:tcPr>
          <w:p w14:paraId="471694AC" w14:textId="1C554B6C" w:rsidR="002360FF" w:rsidRDefault="009625FB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Progressively </w:t>
            </w:r>
            <w:r w:rsidR="000310AD">
              <w:rPr>
                <w:rFonts w:ascii="Arial" w:hAnsi="Arial"/>
                <w:sz w:val="20"/>
                <w:szCs w:val="20"/>
              </w:rPr>
              <w:t xml:space="preserve">SOBOE and fatigue </w:t>
            </w:r>
            <w:r>
              <w:rPr>
                <w:rFonts w:ascii="Arial" w:hAnsi="Arial"/>
                <w:sz w:val="20"/>
                <w:szCs w:val="20"/>
              </w:rPr>
              <w:t xml:space="preserve">over last few month </w:t>
            </w:r>
            <w:r>
              <w:rPr>
                <w:rFonts w:ascii="Arial" w:hAnsi="Arial"/>
                <w:sz w:val="20"/>
                <w:szCs w:val="20"/>
              </w:rPr>
              <w:br/>
              <w:t xml:space="preserve">~ more difficult to do day to day task </w:t>
            </w:r>
          </w:p>
          <w:p w14:paraId="0FC2D206" w14:textId="77777777" w:rsidR="000310AD" w:rsidRDefault="000310AD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Occasional chest tightness on exertion, one episode at rest </w:t>
            </w:r>
          </w:p>
          <w:p w14:paraId="20A40A12" w14:textId="15007D45" w:rsidR="009625FB" w:rsidRDefault="009625FB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Has hospital bed, sleeps at 60 degrees (has been doing so for long time ?OSA </w:t>
            </w:r>
          </w:p>
          <w:p w14:paraId="35906C7F" w14:textId="64E2D561" w:rsidR="000310AD" w:rsidRPr="00A476D3" w:rsidRDefault="009625FB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Denies oedema, syncope, PND orthopnoea </w:t>
            </w:r>
          </w:p>
        </w:tc>
      </w:tr>
      <w:tr w:rsidR="00AC39F8" w:rsidRPr="00B655D9" w14:paraId="4E6FAE5E" w14:textId="77777777" w:rsidTr="00202B67">
        <w:trPr>
          <w:cantSplit/>
          <w:trHeight w:val="369"/>
        </w:trPr>
        <w:tc>
          <w:tcPr>
            <w:tcW w:w="11199" w:type="dxa"/>
            <w:gridSpan w:val="6"/>
            <w:shd w:val="clear" w:color="auto" w:fill="D9D9D9" w:themeFill="background1" w:themeFillShade="D9"/>
            <w:vAlign w:val="center"/>
          </w:tcPr>
          <w:p w14:paraId="320D973C" w14:textId="41063903" w:rsidR="00AC39F8" w:rsidRPr="00B655D9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 w:rsidR="001B5104"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E</w:t>
            </w:r>
            <w:r w:rsidR="00423D14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0310AD">
              <w:rPr>
                <w:rFonts w:ascii="Arial" w:hAnsi="Arial"/>
                <w:b/>
                <w:bCs/>
                <w:sz w:val="20"/>
                <w:szCs w:val="20"/>
              </w:rPr>
              <w:t xml:space="preserve">RNSH </w:t>
            </w:r>
            <w:r w:rsidR="000C6B05">
              <w:rPr>
                <w:rFonts w:ascii="Arial" w:hAnsi="Arial"/>
                <w:b/>
                <w:bCs/>
                <w:sz w:val="20"/>
                <w:szCs w:val="20"/>
              </w:rPr>
              <w:t xml:space="preserve">2/7/25 – Dr Choong </w:t>
            </w:r>
          </w:p>
        </w:tc>
      </w:tr>
      <w:tr w:rsidR="00A476D3" w:rsidRPr="00B655D9" w14:paraId="300A11E9" w14:textId="77777777" w:rsidTr="00202B67">
        <w:trPr>
          <w:cantSplit/>
          <w:trHeight w:val="2206"/>
        </w:trPr>
        <w:tc>
          <w:tcPr>
            <w:tcW w:w="11199" w:type="dxa"/>
            <w:gridSpan w:val="6"/>
            <w:shd w:val="clear" w:color="auto" w:fill="FFFFFF" w:themeFill="background1"/>
            <w:vAlign w:val="center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1B5104" w:rsidRPr="000A4D06" w14:paraId="23209F46" w14:textId="77777777" w:rsidTr="008D0D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6E640E93" w14:textId="73D74487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LV EF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9625FB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60%</w:t>
                  </w:r>
                </w:p>
              </w:tc>
              <w:tc>
                <w:tcPr>
                  <w:tcW w:w="4721" w:type="dxa"/>
                </w:tcPr>
                <w:p w14:paraId="0F90051B" w14:textId="2DA28568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0310A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1.0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AVAi</w:t>
                  </w:r>
                  <w:proofErr w:type="spellEnd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0310A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0.4</w:t>
                  </w:r>
                </w:p>
              </w:tc>
            </w:tr>
            <w:tr w:rsidR="001B5104" w:rsidRPr="000A4D06" w14:paraId="6252BD94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358AF854" w14:textId="0AF00EFA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0310A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72</w:t>
                  </w:r>
                </w:p>
              </w:tc>
              <w:tc>
                <w:tcPr>
                  <w:tcW w:w="4721" w:type="dxa"/>
                </w:tcPr>
                <w:p w14:paraId="2F657553" w14:textId="3F52A9DA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sz w:val="20"/>
                      <w:szCs w:val="20"/>
                    </w:rPr>
                    <w:t>AR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: </w:t>
                  </w:r>
                  <w:r w:rsidR="009625FB">
                    <w:rPr>
                      <w:rFonts w:ascii="Arial" w:hAnsi="Arial"/>
                      <w:sz w:val="20"/>
                      <w:szCs w:val="20"/>
                    </w:rPr>
                    <w:t>Nil</w:t>
                  </w:r>
                </w:p>
              </w:tc>
            </w:tr>
            <w:tr w:rsidR="001B5104" w14:paraId="595F8E44" w14:textId="77777777" w:rsidTr="008D0D8B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1B3FBB19" w14:textId="302DC2FE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Mean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0310A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36</w:t>
                  </w:r>
                </w:p>
              </w:tc>
              <w:tc>
                <w:tcPr>
                  <w:tcW w:w="4721" w:type="dxa"/>
                </w:tcPr>
                <w:p w14:paraId="76F969DF" w14:textId="6579031F" w:rsidR="001B5104" w:rsidRDefault="001B5104" w:rsidP="001B5104">
                  <w:pPr>
                    <w:keepNext/>
                    <w:spacing w:before="40" w:afterLines="40" w:after="96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SVI:</w:t>
                  </w:r>
                  <w:r w:rsidR="00DD4459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  <w:r w:rsidR="009625FB">
                    <w:rPr>
                      <w:rFonts w:ascii="Arial" w:hAnsi="Arial"/>
                      <w:sz w:val="20"/>
                      <w:szCs w:val="20"/>
                    </w:rPr>
                    <w:t>44.6</w:t>
                  </w:r>
                </w:p>
              </w:tc>
            </w:tr>
            <w:tr w:rsidR="001B5104" w14:paraId="4791494B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41E1A317" w14:textId="46879D72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AV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0310A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4.3</w:t>
                  </w:r>
                </w:p>
              </w:tc>
              <w:tc>
                <w:tcPr>
                  <w:tcW w:w="4721" w:type="dxa"/>
                </w:tcPr>
                <w:p w14:paraId="083A81C6" w14:textId="6F31C1F5" w:rsidR="001B5104" w:rsidRDefault="00DD4459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MR: </w:t>
                  </w:r>
                  <w:r w:rsidR="009625FB">
                    <w:rPr>
                      <w:rFonts w:ascii="Arial" w:hAnsi="Arial"/>
                      <w:sz w:val="20"/>
                      <w:szCs w:val="20"/>
                    </w:rPr>
                    <w:t>Mild</w:t>
                  </w:r>
                </w:p>
              </w:tc>
            </w:tr>
            <w:tr w:rsidR="00DD4459" w14:paraId="14328C83" w14:textId="77777777" w:rsidTr="00D07FA8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</w:tcPr>
                <w:p w14:paraId="715CE7B9" w14:textId="6A207865" w:rsidR="00DD4459" w:rsidRDefault="00DD4459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A476D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Comment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s:</w:t>
                  </w:r>
                  <w:r w:rsidR="000310A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310AD" w:rsidRPr="000310A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Trileaflet</w:t>
                  </w:r>
                  <w:proofErr w:type="spellEnd"/>
                  <w:r w:rsidR="000310AD" w:rsidRPr="000310A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aortic valve. Markedly calcified leaflets with severely restricted excursion on 2D (</w:t>
                  </w:r>
                  <w:proofErr w:type="spellStart"/>
                  <w:r w:rsidR="000310AD" w:rsidRPr="000310A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eg</w:t>
                  </w:r>
                  <w:proofErr w:type="spellEnd"/>
                  <w:r w:rsidR="000310AD" w:rsidRPr="000310A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clip 27) and 3 D imaging (clip 29). Doppler data as listed in table above consistent with severe stenosis based on peak velocity (even after correction for proximal velocity) and valve area index</w:t>
                  </w:r>
                </w:p>
              </w:tc>
            </w:tr>
          </w:tbl>
          <w:p w14:paraId="5B7B9B85" w14:textId="60B80718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A476D3" w:rsidRPr="00B655D9" w14:paraId="601B2AAC" w14:textId="77777777" w:rsidTr="00202B67">
        <w:trPr>
          <w:cantSplit/>
          <w:trHeight w:val="273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629D7093" w14:textId="0F6D43AF" w:rsidR="00A476D3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Angio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4CF4A2ED" w14:textId="05E918D1" w:rsidR="00A476D3" w:rsidRPr="00AC39F8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C39F8">
              <w:rPr>
                <w:rFonts w:ascii="Arial" w:hAnsi="Arial"/>
                <w:b/>
                <w:bCs/>
                <w:sz w:val="20"/>
                <w:szCs w:val="20"/>
              </w:rPr>
              <w:t>ECG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C39F8" w:rsidRPr="00B655D9" w14:paraId="49A1BDBB" w14:textId="77777777" w:rsidTr="00202B67">
        <w:trPr>
          <w:cantSplit/>
          <w:trHeight w:val="331"/>
        </w:trPr>
        <w:tc>
          <w:tcPr>
            <w:tcW w:w="5529" w:type="dxa"/>
            <w:shd w:val="clear" w:color="auto" w:fill="auto"/>
            <w:vAlign w:val="center"/>
          </w:tcPr>
          <w:p w14:paraId="5334E1FB" w14:textId="6CC58993" w:rsidR="00AC39F8" w:rsidRPr="006D6391" w:rsidRDefault="009625FB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 w:rsidRPr="009625FB">
              <w:rPr>
                <w:rFonts w:ascii="Arial" w:hAnsi="Arial"/>
                <w:bCs/>
                <w:sz w:val="20"/>
                <w:szCs w:val="20"/>
              </w:rPr>
              <w:t>Haemodynamically significant proximal LAD disease</w:t>
            </w:r>
            <w:r>
              <w:rPr>
                <w:rFonts w:ascii="Arial" w:hAnsi="Arial"/>
                <w:bCs/>
                <w:sz w:val="20"/>
                <w:szCs w:val="20"/>
              </w:rPr>
              <w:t xml:space="preserve"> (70%, </w:t>
            </w: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iFR</w:t>
            </w:r>
            <w:proofErr w:type="spellEnd"/>
            <w:r>
              <w:rPr>
                <w:rFonts w:ascii="Arial" w:hAnsi="Arial"/>
                <w:bCs/>
                <w:sz w:val="20"/>
                <w:szCs w:val="20"/>
              </w:rPr>
              <w:t xml:space="preserve"> 0.88)</w:t>
            </w:r>
            <w:r w:rsidRPr="009625FB">
              <w:rPr>
                <w:rFonts w:ascii="Arial" w:hAnsi="Arial"/>
                <w:bCs/>
                <w:sz w:val="20"/>
                <w:szCs w:val="20"/>
              </w:rPr>
              <w:t xml:space="preserve">, and severe </w:t>
            </w:r>
            <w:proofErr w:type="spellStart"/>
            <w:r w:rsidRPr="009625FB">
              <w:rPr>
                <w:rFonts w:ascii="Arial" w:hAnsi="Arial"/>
                <w:bCs/>
                <w:sz w:val="20"/>
                <w:szCs w:val="20"/>
              </w:rPr>
              <w:t>LCx</w:t>
            </w:r>
            <w:proofErr w:type="spellEnd"/>
            <w:r w:rsidRPr="009625FB">
              <w:rPr>
                <w:rFonts w:ascii="Arial" w:hAnsi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Cs/>
                <w:sz w:val="20"/>
                <w:szCs w:val="20"/>
              </w:rPr>
              <w:t xml:space="preserve">(80%) </w:t>
            </w:r>
            <w:r w:rsidRPr="009625FB">
              <w:rPr>
                <w:rFonts w:ascii="Arial" w:hAnsi="Arial"/>
                <w:bCs/>
                <w:sz w:val="20"/>
                <w:szCs w:val="20"/>
              </w:rPr>
              <w:t>and OM2 disease</w:t>
            </w:r>
            <w:r>
              <w:rPr>
                <w:rFonts w:ascii="Arial" w:hAnsi="Arial"/>
                <w:bCs/>
                <w:sz w:val="20"/>
                <w:szCs w:val="20"/>
              </w:rPr>
              <w:t xml:space="preserve"> (80%).</w:t>
            </w:r>
          </w:p>
        </w:tc>
        <w:tc>
          <w:tcPr>
            <w:tcW w:w="5670" w:type="dxa"/>
            <w:gridSpan w:val="5"/>
            <w:shd w:val="clear" w:color="auto" w:fill="auto"/>
            <w:vAlign w:val="center"/>
          </w:tcPr>
          <w:p w14:paraId="0897FBC1" w14:textId="40346C55" w:rsidR="00AC39F8" w:rsidRPr="00DD4459" w:rsidRDefault="009625FB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SR w/ prolonged PR interval (235). Normal QRS</w:t>
            </w:r>
          </w:p>
        </w:tc>
      </w:tr>
      <w:tr w:rsidR="00963B9F" w:rsidRPr="00B655D9" w14:paraId="74F620E0" w14:textId="77777777" w:rsidTr="00202B67">
        <w:trPr>
          <w:cantSplit/>
          <w:trHeight w:val="284"/>
        </w:trPr>
        <w:tc>
          <w:tcPr>
            <w:tcW w:w="11199" w:type="dxa"/>
            <w:gridSpan w:val="6"/>
            <w:shd w:val="clear" w:color="auto" w:fill="D9D9D9" w:themeFill="background1" w:themeFillShade="D9"/>
            <w:vAlign w:val="center"/>
          </w:tcPr>
          <w:p w14:paraId="54AFBD18" w14:textId="1CA3FB78" w:rsidR="00963B9F" w:rsidRPr="00B655D9" w:rsidRDefault="00963B9F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2" w:name="_Hlk508990709"/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CT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TAVI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00331" w:rsidRPr="00B655D9" w14:paraId="2CE0C996" w14:textId="77777777" w:rsidTr="00AB1739">
        <w:trPr>
          <w:cantSplit/>
          <w:trHeight w:val="2958"/>
        </w:trPr>
        <w:tc>
          <w:tcPr>
            <w:tcW w:w="5529" w:type="dxa"/>
            <w:vAlign w:val="center"/>
          </w:tcPr>
          <w:p w14:paraId="50592657" w14:textId="6A4537E9" w:rsidR="00A00331" w:rsidRPr="00FA533D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5670" w:type="dxa"/>
            <w:gridSpan w:val="5"/>
            <w:vAlign w:val="center"/>
          </w:tcPr>
          <w:p w14:paraId="61B9EDEA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t xml:space="preserve">Access: </w:t>
            </w:r>
          </w:p>
          <w:p w14:paraId="34E914EE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Valve Choice: </w:t>
            </w:r>
          </w:p>
          <w:p w14:paraId="7CED0B8B" w14:textId="75ABE21D" w:rsidR="00A00331" w:rsidRPr="00A00331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Incidentals: </w:t>
            </w:r>
          </w:p>
        </w:tc>
      </w:tr>
      <w:bookmarkEnd w:id="2"/>
      <w:tr w:rsidR="009F0463" w:rsidRPr="00EF793F" w14:paraId="2B974AB9" w14:textId="77777777" w:rsidTr="00202B67">
        <w:trPr>
          <w:cantSplit/>
          <w:trHeight w:val="369"/>
        </w:trPr>
        <w:tc>
          <w:tcPr>
            <w:tcW w:w="5529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E04BF1" w14:textId="6E0B92CF" w:rsidR="009F0463" w:rsidRPr="00EF793F" w:rsidRDefault="006F5F88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MOCA</w:t>
            </w:r>
            <w:r w:rsidR="0026263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 / Clinical Frailty Score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E120C" w14:textId="27C32DA7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Bloods: </w:t>
            </w:r>
            <w:r w:rsidR="000310AD">
              <w:rPr>
                <w:rFonts w:ascii="Arial" w:hAnsi="Arial"/>
                <w:b/>
                <w:bCs/>
                <w:sz w:val="20"/>
                <w:szCs w:val="20"/>
              </w:rPr>
              <w:t>Laverty 15/6/25</w:t>
            </w:r>
          </w:p>
        </w:tc>
      </w:tr>
      <w:tr w:rsidR="000310AD" w:rsidRPr="00EF793F" w14:paraId="196C6479" w14:textId="77777777" w:rsidTr="005305D4">
        <w:trPr>
          <w:cantSplit/>
          <w:trHeight w:val="369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F5644" w14:textId="48F9DC8D" w:rsidR="000310AD" w:rsidRPr="00EF793F" w:rsidRDefault="000310AD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lastRenderedPageBreak/>
              <w:t>MMSE: 30/30 (with GP)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2B8D88" w14:textId="1ACE36A8" w:rsidR="000310AD" w:rsidRPr="00EF793F" w:rsidRDefault="000310AD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Hb:140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E195E3" w14:textId="4FDE2FE4" w:rsidR="000310AD" w:rsidRPr="00EF793F" w:rsidRDefault="000310AD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Plts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 184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400C7F" w14:textId="0079BBF8" w:rsidR="000310AD" w:rsidRPr="00EF793F" w:rsidRDefault="000310AD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Cre: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2C0E3F" w14:textId="68609058" w:rsidR="000310AD" w:rsidRPr="00EF793F" w:rsidRDefault="000310AD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eGFR: 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0BD4E2A" w14:textId="4F001BB0" w:rsidR="000310AD" w:rsidRPr="00EF793F" w:rsidRDefault="000310AD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Albumin: </w:t>
            </w:r>
          </w:p>
        </w:tc>
      </w:tr>
      <w:tr w:rsidR="009F0463" w:rsidRPr="00EF793F" w14:paraId="530B8DED" w14:textId="77777777" w:rsidTr="00202B67">
        <w:trPr>
          <w:cantSplit/>
          <w:trHeight w:val="369"/>
        </w:trPr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26CF" w14:textId="63553685" w:rsidR="009F0463" w:rsidRPr="00926F25" w:rsidRDefault="001B5104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Aged Care</w:t>
            </w:r>
            <w:r w:rsidR="006F5F8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: 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8BD86" w14:textId="0CFBD7B2" w:rsidR="009F0463" w:rsidRPr="00EF793F" w:rsidRDefault="00AF59E5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Cardiothoracic: </w:t>
            </w:r>
            <w:r w:rsidR="00A00331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0C6B05">
              <w:rPr>
                <w:rFonts w:ascii="Arial" w:hAnsi="Arial"/>
                <w:b/>
                <w:bCs/>
                <w:sz w:val="20"/>
                <w:szCs w:val="20"/>
              </w:rPr>
              <w:t xml:space="preserve">Dr Bassin </w:t>
            </w:r>
          </w:p>
        </w:tc>
      </w:tr>
      <w:tr w:rsidR="009F0463" w:rsidRPr="002148BF" w14:paraId="7C3DFF51" w14:textId="77777777" w:rsidTr="00202B67">
        <w:trPr>
          <w:cantSplit/>
          <w:trHeight w:val="680"/>
        </w:trPr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50AB8A" w14:textId="1932BD5A" w:rsidR="006F5F88" w:rsidRPr="002148BF" w:rsidRDefault="000C6B05" w:rsidP="00DD4459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N/A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C34C" w14:textId="6CFA78C1" w:rsidR="009F0463" w:rsidRPr="002148BF" w:rsidRDefault="000C6B05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0C6B05">
              <w:rPr>
                <w:rFonts w:ascii="Arial" w:hAnsi="Arial"/>
                <w:sz w:val="20"/>
                <w:szCs w:val="20"/>
              </w:rPr>
              <w:t>On balance I think you should have a TAVI +/-PCI if it is technically feasible. Her co</w:t>
            </w:r>
            <w:r w:rsidRPr="000C6B05">
              <w:rPr>
                <w:rFonts w:ascii="Arial" w:hAnsi="Arial"/>
                <w:sz w:val="20"/>
                <w:szCs w:val="20"/>
              </w:rPr>
              <w:t>morbidities are significant risks for open surgery including Protein C deficiency with stroke, and PE/DVT, morbid obesity, immobility due to vestibular dysfunction, type 2 diabetes, and OSA. If surgery was required we discussed that this would carry a higher risk of stroke due to the Protein C deficiency and would involve a tissue aortic valve replacement, and coronary bypass to the LAD and circumflex vessels. I would be happy to see her again if a TAVI is not possible.</w:t>
            </w:r>
          </w:p>
        </w:tc>
      </w:tr>
      <w:bookmarkEnd w:id="0"/>
      <w:bookmarkEnd w:id="1"/>
    </w:tbl>
    <w:p w14:paraId="0325A06D" w14:textId="77777777" w:rsidR="006E3656" w:rsidRDefault="006E3656"/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647"/>
      </w:tblGrid>
      <w:tr w:rsidR="005C544E" w:rsidRPr="00C90237" w14:paraId="2F4CC751" w14:textId="77777777" w:rsidTr="005C544E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A2150" w14:textId="6134F3F6" w:rsidR="005C544E" w:rsidRPr="00DD4459" w:rsidRDefault="005C544E" w:rsidP="005C54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bookmarkStart w:id="3" w:name="_Hlk191554119"/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Multidisciplinary Structural Heart Team</w:t>
            </w:r>
          </w:p>
        </w:tc>
      </w:tr>
      <w:tr w:rsidR="005C544E" w:rsidRPr="00C90237" w14:paraId="7AB5D807" w14:textId="77777777" w:rsidTr="005C544E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B7A15B" w14:textId="4AC63CF1" w:rsidR="005C544E" w:rsidRPr="00DD4459" w:rsidRDefault="005C544E" w:rsidP="005C54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Date: </w:t>
            </w:r>
          </w:p>
        </w:tc>
      </w:tr>
      <w:tr w:rsidR="00262638" w:rsidRPr="00C90237" w14:paraId="5D9D938B" w14:textId="77777777" w:rsidTr="00262638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9268" w14:textId="784F0798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Attendees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: Dr</w:t>
            </w: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Ravinay Bhindi, Dr Peter Hansen, Dr Malcom Anastasius, Dr Chris Choong, Dr Peter Brady, </w:t>
            </w:r>
            <w:r w:rsidR="00984C45">
              <w:rPr>
                <w:rFonts w:ascii="Arial" w:hAnsi="Arial"/>
                <w:color w:val="FF0000"/>
                <w:sz w:val="20"/>
                <w:szCs w:val="20"/>
                <w:u w:val="double"/>
              </w:rPr>
              <w:t xml:space="preserve">Dr Michael Ward,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Dr Geoff </w:t>
            </w:r>
            <w:proofErr w:type="spellStart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Tofler</w:t>
            </w:r>
            <w:proofErr w:type="spellEnd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, Ingrid Bromhead, Alice Auton, Megan Inglis</w:t>
            </w:r>
            <w:r w:rsidR="00214FB8" w:rsidRPr="00DD4459">
              <w:rPr>
                <w:rFonts w:ascii="Arial" w:hAnsi="Arial"/>
                <w:color w:val="FF0000"/>
                <w:sz w:val="20"/>
                <w:szCs w:val="20"/>
              </w:rPr>
              <w:t>, Alex Baer</w:t>
            </w:r>
          </w:p>
        </w:tc>
      </w:tr>
      <w:tr w:rsidR="006E3656" w:rsidRPr="00202B67" w14:paraId="6621E94B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FBC58F" w14:textId="3A1B0E71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Essential criteria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8A350D" w14:textId="18D4C763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Confirmed severe symptomatic aortic stenosis</w:t>
            </w:r>
          </w:p>
        </w:tc>
      </w:tr>
      <w:tr w:rsidR="006E3656" w:rsidRPr="00202B67" w14:paraId="032952A4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986B1B" w14:textId="6AA35AAA" w:rsidR="006E3656" w:rsidRPr="00DD4459" w:rsidRDefault="0020604E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TAVI </w:t>
            </w:r>
            <w:r w:rsidR="0077320B"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Feasibility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E5ED44" w14:textId="77EF8777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No concerning features for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trans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femoral access or TAVI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deployment</w:t>
            </w:r>
          </w:p>
          <w:p w14:paraId="6D842FC4" w14:textId="17DFCA12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Valve choice: </w:t>
            </w:r>
          </w:p>
        </w:tc>
      </w:tr>
      <w:tr w:rsidR="006E3656" w:rsidRPr="00202B67" w14:paraId="29D1A6C3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208EC6" w14:textId="73B59E05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Frailty / comorbidities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54085C" w14:textId="5108432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Reasonable baseline cognitive function and social supports. No life limiting pathology. </w:t>
            </w:r>
          </w:p>
        </w:tc>
      </w:tr>
      <w:tr w:rsidR="0077320B" w:rsidRPr="00202B67" w14:paraId="5E222E10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8B628E" w14:textId="0694A067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Lifetime planning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0ADA4" w14:textId="578E58FD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6E3656" w:rsidRPr="00202B67" w14:paraId="2F8CA1A7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E931A2" w14:textId="247606C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Special considerations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F7628D" w14:textId="38F927A0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262638" w:rsidRPr="00574026" w14:paraId="277F22AB" w14:textId="77777777" w:rsidTr="00A7399F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85D47" w14:textId="383F367D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Outcome: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Approved for Transcatheter Aortic Valve Implantation (TAVI)</w:t>
            </w:r>
            <w:r w:rsidR="0077320B"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 </w:t>
            </w:r>
          </w:p>
        </w:tc>
      </w:tr>
      <w:bookmarkEnd w:id="3"/>
    </w:tbl>
    <w:p w14:paraId="28B6A66B" w14:textId="77777777" w:rsidR="00262638" w:rsidRPr="002D2686" w:rsidRDefault="00262638" w:rsidP="00617A5A">
      <w:pPr>
        <w:rPr>
          <w:rFonts w:ascii="Arial" w:hAnsi="Arial"/>
        </w:rPr>
      </w:pPr>
    </w:p>
    <w:sectPr w:rsidR="00262638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B509BD" w:rsidRDefault="00B509BD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B509BD" w:rsidRDefault="00B509BD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B509BD" w:rsidRDefault="00B509BD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B509BD" w:rsidRDefault="00B509BD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551"/>
    <w:multiLevelType w:val="hybridMultilevel"/>
    <w:tmpl w:val="274ABD00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7560C"/>
    <w:multiLevelType w:val="hybridMultilevel"/>
    <w:tmpl w:val="E424E674"/>
    <w:lvl w:ilvl="0" w:tplc="B74A07A4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8684">
    <w:abstractNumId w:val="1"/>
  </w:num>
  <w:num w:numId="2" w16cid:durableId="831532208">
    <w:abstractNumId w:val="0"/>
  </w:num>
  <w:num w:numId="3" w16cid:durableId="71894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A5"/>
    <w:rsid w:val="00003164"/>
    <w:rsid w:val="000162BD"/>
    <w:rsid w:val="000310AD"/>
    <w:rsid w:val="00050D04"/>
    <w:rsid w:val="000555B5"/>
    <w:rsid w:val="00067DDB"/>
    <w:rsid w:val="00091820"/>
    <w:rsid w:val="000A4D06"/>
    <w:rsid w:val="000A517F"/>
    <w:rsid w:val="000C22E6"/>
    <w:rsid w:val="000C3857"/>
    <w:rsid w:val="000C6B05"/>
    <w:rsid w:val="000D4B12"/>
    <w:rsid w:val="000F6318"/>
    <w:rsid w:val="001013B6"/>
    <w:rsid w:val="00111CAC"/>
    <w:rsid w:val="001130C0"/>
    <w:rsid w:val="00116114"/>
    <w:rsid w:val="00127863"/>
    <w:rsid w:val="00135CEB"/>
    <w:rsid w:val="00155C30"/>
    <w:rsid w:val="0018016B"/>
    <w:rsid w:val="00182291"/>
    <w:rsid w:val="001A03BB"/>
    <w:rsid w:val="001B5104"/>
    <w:rsid w:val="001D21BA"/>
    <w:rsid w:val="001D795B"/>
    <w:rsid w:val="001D7A21"/>
    <w:rsid w:val="001E0B7D"/>
    <w:rsid w:val="001E53F1"/>
    <w:rsid w:val="001F3AAF"/>
    <w:rsid w:val="00202865"/>
    <w:rsid w:val="00202B67"/>
    <w:rsid w:val="0020604E"/>
    <w:rsid w:val="00214FB8"/>
    <w:rsid w:val="00221C92"/>
    <w:rsid w:val="00223EBB"/>
    <w:rsid w:val="0022607A"/>
    <w:rsid w:val="002360FF"/>
    <w:rsid w:val="00262638"/>
    <w:rsid w:val="00270061"/>
    <w:rsid w:val="00274E90"/>
    <w:rsid w:val="00282463"/>
    <w:rsid w:val="00286FAE"/>
    <w:rsid w:val="002911CC"/>
    <w:rsid w:val="002A6CA4"/>
    <w:rsid w:val="002C24C5"/>
    <w:rsid w:val="002D2686"/>
    <w:rsid w:val="002D4942"/>
    <w:rsid w:val="002D6EF6"/>
    <w:rsid w:val="0031322B"/>
    <w:rsid w:val="0032194E"/>
    <w:rsid w:val="00332B20"/>
    <w:rsid w:val="00347A29"/>
    <w:rsid w:val="0035001E"/>
    <w:rsid w:val="00362FB2"/>
    <w:rsid w:val="003645FA"/>
    <w:rsid w:val="0036649D"/>
    <w:rsid w:val="0036656B"/>
    <w:rsid w:val="003830A2"/>
    <w:rsid w:val="00392912"/>
    <w:rsid w:val="00395EF9"/>
    <w:rsid w:val="003A3130"/>
    <w:rsid w:val="003B0D6B"/>
    <w:rsid w:val="003B23F3"/>
    <w:rsid w:val="003B3241"/>
    <w:rsid w:val="003B435A"/>
    <w:rsid w:val="003B759D"/>
    <w:rsid w:val="003D6C6A"/>
    <w:rsid w:val="003E32C5"/>
    <w:rsid w:val="00402DF2"/>
    <w:rsid w:val="00406FB3"/>
    <w:rsid w:val="00423D14"/>
    <w:rsid w:val="00431BE0"/>
    <w:rsid w:val="00452A9E"/>
    <w:rsid w:val="00452E50"/>
    <w:rsid w:val="0047278E"/>
    <w:rsid w:val="00475A16"/>
    <w:rsid w:val="004876C1"/>
    <w:rsid w:val="004B1744"/>
    <w:rsid w:val="004B63B6"/>
    <w:rsid w:val="004C6E59"/>
    <w:rsid w:val="004E4729"/>
    <w:rsid w:val="00502660"/>
    <w:rsid w:val="00507B08"/>
    <w:rsid w:val="00524632"/>
    <w:rsid w:val="00533C4E"/>
    <w:rsid w:val="005602BA"/>
    <w:rsid w:val="00562C50"/>
    <w:rsid w:val="00563968"/>
    <w:rsid w:val="00564817"/>
    <w:rsid w:val="00564840"/>
    <w:rsid w:val="005650FA"/>
    <w:rsid w:val="00565287"/>
    <w:rsid w:val="00571283"/>
    <w:rsid w:val="00574026"/>
    <w:rsid w:val="00582788"/>
    <w:rsid w:val="005934CD"/>
    <w:rsid w:val="005A62FB"/>
    <w:rsid w:val="005C08F3"/>
    <w:rsid w:val="005C544E"/>
    <w:rsid w:val="005C7236"/>
    <w:rsid w:val="005D157A"/>
    <w:rsid w:val="005D625B"/>
    <w:rsid w:val="005E7AEC"/>
    <w:rsid w:val="005F5215"/>
    <w:rsid w:val="00601BD1"/>
    <w:rsid w:val="0060575D"/>
    <w:rsid w:val="00617A5A"/>
    <w:rsid w:val="00617AD4"/>
    <w:rsid w:val="006378F8"/>
    <w:rsid w:val="00656706"/>
    <w:rsid w:val="006577F5"/>
    <w:rsid w:val="00663886"/>
    <w:rsid w:val="00667D4F"/>
    <w:rsid w:val="00672749"/>
    <w:rsid w:val="00681A6A"/>
    <w:rsid w:val="00686350"/>
    <w:rsid w:val="00687915"/>
    <w:rsid w:val="006B4B14"/>
    <w:rsid w:val="006D6391"/>
    <w:rsid w:val="006E3656"/>
    <w:rsid w:val="006E7F2C"/>
    <w:rsid w:val="006F1AD5"/>
    <w:rsid w:val="006F5F88"/>
    <w:rsid w:val="00700CF3"/>
    <w:rsid w:val="00706424"/>
    <w:rsid w:val="00712DC9"/>
    <w:rsid w:val="007311CF"/>
    <w:rsid w:val="007315DC"/>
    <w:rsid w:val="00743F9B"/>
    <w:rsid w:val="0077320B"/>
    <w:rsid w:val="00782131"/>
    <w:rsid w:val="007B4AA8"/>
    <w:rsid w:val="007C039F"/>
    <w:rsid w:val="007E3849"/>
    <w:rsid w:val="007F6943"/>
    <w:rsid w:val="008221B6"/>
    <w:rsid w:val="00841131"/>
    <w:rsid w:val="008537E4"/>
    <w:rsid w:val="00866461"/>
    <w:rsid w:val="00867E19"/>
    <w:rsid w:val="008803BC"/>
    <w:rsid w:val="0089016C"/>
    <w:rsid w:val="008A4AF7"/>
    <w:rsid w:val="008C22A2"/>
    <w:rsid w:val="008D15E6"/>
    <w:rsid w:val="008D18B6"/>
    <w:rsid w:val="008D759F"/>
    <w:rsid w:val="008F35E1"/>
    <w:rsid w:val="008F6B92"/>
    <w:rsid w:val="008F7FC6"/>
    <w:rsid w:val="00910182"/>
    <w:rsid w:val="00936B6D"/>
    <w:rsid w:val="0094223C"/>
    <w:rsid w:val="009578A0"/>
    <w:rsid w:val="009625FB"/>
    <w:rsid w:val="00963553"/>
    <w:rsid w:val="00963B9F"/>
    <w:rsid w:val="00964954"/>
    <w:rsid w:val="0096661B"/>
    <w:rsid w:val="00984C45"/>
    <w:rsid w:val="00990202"/>
    <w:rsid w:val="009942AF"/>
    <w:rsid w:val="00996BD8"/>
    <w:rsid w:val="009A0D1B"/>
    <w:rsid w:val="009B7597"/>
    <w:rsid w:val="009D243F"/>
    <w:rsid w:val="009F0463"/>
    <w:rsid w:val="009F3AF8"/>
    <w:rsid w:val="009F4222"/>
    <w:rsid w:val="00A00331"/>
    <w:rsid w:val="00A03D2C"/>
    <w:rsid w:val="00A065F7"/>
    <w:rsid w:val="00A21167"/>
    <w:rsid w:val="00A24E69"/>
    <w:rsid w:val="00A322AE"/>
    <w:rsid w:val="00A3427E"/>
    <w:rsid w:val="00A4411F"/>
    <w:rsid w:val="00A44572"/>
    <w:rsid w:val="00A44CD3"/>
    <w:rsid w:val="00A474ED"/>
    <w:rsid w:val="00A476D3"/>
    <w:rsid w:val="00A51171"/>
    <w:rsid w:val="00A70510"/>
    <w:rsid w:val="00A70F3C"/>
    <w:rsid w:val="00A76169"/>
    <w:rsid w:val="00A8082D"/>
    <w:rsid w:val="00A84A64"/>
    <w:rsid w:val="00AB0107"/>
    <w:rsid w:val="00AC39F8"/>
    <w:rsid w:val="00AF4F1F"/>
    <w:rsid w:val="00AF59E5"/>
    <w:rsid w:val="00B06EF1"/>
    <w:rsid w:val="00B23299"/>
    <w:rsid w:val="00B3533F"/>
    <w:rsid w:val="00B37AF2"/>
    <w:rsid w:val="00B40FFD"/>
    <w:rsid w:val="00B4166E"/>
    <w:rsid w:val="00B41BFF"/>
    <w:rsid w:val="00B509BD"/>
    <w:rsid w:val="00B5551C"/>
    <w:rsid w:val="00B619BC"/>
    <w:rsid w:val="00B64674"/>
    <w:rsid w:val="00B64F95"/>
    <w:rsid w:val="00B655D9"/>
    <w:rsid w:val="00B70EF9"/>
    <w:rsid w:val="00B80F1F"/>
    <w:rsid w:val="00BA54BD"/>
    <w:rsid w:val="00BB0F75"/>
    <w:rsid w:val="00BB484E"/>
    <w:rsid w:val="00BD1ED0"/>
    <w:rsid w:val="00BE46DD"/>
    <w:rsid w:val="00BE7264"/>
    <w:rsid w:val="00C05E6B"/>
    <w:rsid w:val="00C10321"/>
    <w:rsid w:val="00C222B3"/>
    <w:rsid w:val="00C3667E"/>
    <w:rsid w:val="00C444BF"/>
    <w:rsid w:val="00C774C1"/>
    <w:rsid w:val="00C8114E"/>
    <w:rsid w:val="00C81ED0"/>
    <w:rsid w:val="00C82CBA"/>
    <w:rsid w:val="00C90237"/>
    <w:rsid w:val="00C91494"/>
    <w:rsid w:val="00CA7CD8"/>
    <w:rsid w:val="00CB59C6"/>
    <w:rsid w:val="00CC0782"/>
    <w:rsid w:val="00CE4774"/>
    <w:rsid w:val="00CE4AE3"/>
    <w:rsid w:val="00CF5F3D"/>
    <w:rsid w:val="00CF6774"/>
    <w:rsid w:val="00D070FE"/>
    <w:rsid w:val="00D2544B"/>
    <w:rsid w:val="00D36745"/>
    <w:rsid w:val="00D46424"/>
    <w:rsid w:val="00D520C1"/>
    <w:rsid w:val="00D768D9"/>
    <w:rsid w:val="00D87B63"/>
    <w:rsid w:val="00D9088F"/>
    <w:rsid w:val="00D9754E"/>
    <w:rsid w:val="00DA166D"/>
    <w:rsid w:val="00DD4459"/>
    <w:rsid w:val="00DE2976"/>
    <w:rsid w:val="00E03C58"/>
    <w:rsid w:val="00E17B6D"/>
    <w:rsid w:val="00E23F92"/>
    <w:rsid w:val="00E24EE5"/>
    <w:rsid w:val="00E35DAC"/>
    <w:rsid w:val="00E37A21"/>
    <w:rsid w:val="00E40444"/>
    <w:rsid w:val="00E44DC6"/>
    <w:rsid w:val="00E715ED"/>
    <w:rsid w:val="00E80A59"/>
    <w:rsid w:val="00EA16AA"/>
    <w:rsid w:val="00EA65C6"/>
    <w:rsid w:val="00EC19E2"/>
    <w:rsid w:val="00EE0361"/>
    <w:rsid w:val="00EE630B"/>
    <w:rsid w:val="00F07300"/>
    <w:rsid w:val="00F35156"/>
    <w:rsid w:val="00F51BDC"/>
    <w:rsid w:val="00F52C2F"/>
    <w:rsid w:val="00F6351D"/>
    <w:rsid w:val="00F84C2C"/>
    <w:rsid w:val="00FA533D"/>
    <w:rsid w:val="00FD70A2"/>
    <w:rsid w:val="00FE25E8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1"/>
    </o:shapelayout>
  </w:shapeDefaults>
  <w:decimalSymbol w:val="."/>
  <w:listSeparator w:val=","/>
  <w14:docId w14:val="2E595516"/>
  <w15:docId w15:val="{D8340706-B9A5-408D-A18E-782FFDE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Ciprian Dospinescu</dc:creator>
  <cp:lastModifiedBy>Ingrid Bromhead (Northern Sydney LHD)</cp:lastModifiedBy>
  <cp:revision>3</cp:revision>
  <cp:lastPrinted>2024-08-23T02:15:00Z</cp:lastPrinted>
  <dcterms:created xsi:type="dcterms:W3CDTF">2025-07-04T02:37:00Z</dcterms:created>
  <dcterms:modified xsi:type="dcterms:W3CDTF">2025-07-18T02:55:00Z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2025-02-06T00:54:21Z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2641df69-c58a-498c-89d8-9d64d97eb167</vt:lpwstr>
  </property>
  <property fmtid="{D5CDD505-2E9C-101B-9397-08002B2CF9AE}" pid="8" name="MSIP_Label_00f30421-7766-42c6-b167-b4a273574e25_ContentBits">
    <vt:lpwstr>0</vt:lpwstr>
  </property>
</Properties>
</file>