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2835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2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2"/>
            <w:shd w:val="clear" w:color="auto" w:fill="CCCCCC"/>
            <w:vAlign w:val="center"/>
          </w:tcPr>
          <w:p w14:paraId="27908EA7" w14:textId="20578A9D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8C02D0">
              <w:rPr>
                <w:rFonts w:ascii="Arial" w:hAnsi="Arial"/>
                <w:b/>
                <w:bCs/>
                <w:sz w:val="20"/>
                <w:szCs w:val="20"/>
              </w:rPr>
              <w:t>30/5/25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05E5B68B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8C02D0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1299DB46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8C02D0">
              <w:rPr>
                <w:rFonts w:ascii="Arial" w:hAnsi="Arial"/>
                <w:sz w:val="20"/>
                <w:szCs w:val="20"/>
              </w:rPr>
              <w:t>Jennifer Grasso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77AB2BD6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8C02D0">
              <w:rPr>
                <w:rFonts w:ascii="Arial" w:hAnsi="Arial"/>
                <w:sz w:val="20"/>
                <w:szCs w:val="20"/>
              </w:rPr>
              <w:t>Bassin / Rogers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39FB57DA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8C02D0">
              <w:rPr>
                <w:rFonts w:ascii="Arial" w:hAnsi="Arial"/>
                <w:sz w:val="20"/>
                <w:szCs w:val="20"/>
              </w:rPr>
              <w:t>19/12/38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00688883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8C02D0">
              <w:rPr>
                <w:rFonts w:ascii="Arial" w:hAnsi="Arial"/>
                <w:sz w:val="20"/>
                <w:szCs w:val="20"/>
              </w:rPr>
              <w:t>0400233289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78673FF4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8C02D0">
              <w:rPr>
                <w:rFonts w:ascii="Arial" w:hAnsi="Arial"/>
                <w:sz w:val="20"/>
                <w:szCs w:val="20"/>
              </w:rPr>
              <w:t>0274378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741F113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8C02D0">
              <w:rPr>
                <w:rFonts w:ascii="Arial" w:hAnsi="Arial"/>
                <w:sz w:val="20"/>
                <w:szCs w:val="20"/>
              </w:rPr>
              <w:t>Grace 0408 478 007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65D7D5DC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8C02D0">
              <w:rPr>
                <w:rFonts w:ascii="Arial" w:hAnsi="Arial"/>
                <w:sz w:val="20"/>
                <w:szCs w:val="20"/>
              </w:rPr>
              <w:t>86YO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1621EE42" w:rsidR="00286FAE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Special Comments: 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2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2"/>
          </w:tcPr>
          <w:p w14:paraId="0BAC0B1A" w14:textId="29B2D88A" w:rsidR="002D6EF6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AF</w:t>
            </w:r>
          </w:p>
          <w:p w14:paraId="3B57F57A" w14:textId="77777777" w:rsidR="008C02D0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Hypertension </w:t>
            </w:r>
          </w:p>
          <w:p w14:paraId="54093690" w14:textId="49CA666F" w:rsidR="008C02D0" w:rsidRDefault="00BC684A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Depression</w:t>
            </w:r>
            <w:r w:rsidR="008C02D0">
              <w:rPr>
                <w:rFonts w:ascii="Arial" w:hAnsi="Arial"/>
                <w:sz w:val="20"/>
                <w:szCs w:val="20"/>
                <w:lang w:val="x-none"/>
              </w:rPr>
              <w:t xml:space="preserve"> / anxiety </w:t>
            </w:r>
          </w:p>
          <w:p w14:paraId="0D2CDE14" w14:textId="77777777" w:rsidR="008C02D0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CVA 2020</w:t>
            </w:r>
          </w:p>
          <w:p w14:paraId="744989E6" w14:textId="3A23426D" w:rsidR="008C02D0" w:rsidRDefault="00615B42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Hy</w:t>
            </w:r>
            <w:r w:rsidR="008C02D0">
              <w:rPr>
                <w:rFonts w:ascii="Arial" w:hAnsi="Arial"/>
                <w:sz w:val="20"/>
                <w:szCs w:val="20"/>
                <w:lang w:val="x-none"/>
              </w:rPr>
              <w:t xml:space="preserve">pothyroidism </w:t>
            </w:r>
          </w:p>
          <w:p w14:paraId="6AD4FE14" w14:textId="77777777" w:rsidR="008C02D0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osteoarthritis </w:t>
            </w:r>
          </w:p>
          <w:p w14:paraId="1DE71602" w14:textId="77777777" w:rsidR="008C02D0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Reflux</w:t>
            </w:r>
          </w:p>
          <w:p w14:paraId="38C01700" w14:textId="77777777" w:rsidR="008C02D0" w:rsidRDefault="008C02D0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Gout </w:t>
            </w:r>
          </w:p>
          <w:p w14:paraId="77102246" w14:textId="7A802FD3" w:rsidR="008C02D0" w:rsidRPr="008C02D0" w:rsidRDefault="008C02D0" w:rsidP="008C02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Bakers cyst </w:t>
            </w:r>
          </w:p>
        </w:tc>
        <w:tc>
          <w:tcPr>
            <w:tcW w:w="5670" w:type="dxa"/>
            <w:gridSpan w:val="5"/>
          </w:tcPr>
          <w:p w14:paraId="2F100EAB" w14:textId="77777777" w:rsidR="00BC684A" w:rsidRPr="00BC684A" w:rsidRDefault="00BC684A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Amitriptyline 10mg </w:t>
            </w:r>
          </w:p>
          <w:p w14:paraId="40AF676D" w14:textId="69D66418" w:rsidR="006378F8" w:rsidRPr="00DD4459" w:rsidRDefault="00BC684A" w:rsidP="006378F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Atenolol 50mg</w:t>
            </w:r>
            <w:r w:rsidR="00A00331" w:rsidRPr="00A00331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</w:p>
          <w:p w14:paraId="12C8FE30" w14:textId="0E4BBA01" w:rsidR="008D759F" w:rsidRDefault="00BC684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Eliquis 2.5mg BD</w:t>
            </w:r>
          </w:p>
          <w:p w14:paraId="5B53F7D0" w14:textId="05566C3B" w:rsidR="00BC684A" w:rsidRPr="00DD4459" w:rsidRDefault="00BC684A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Oroxine 50mcg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2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2"/>
          </w:tcPr>
          <w:p w14:paraId="0557C8C1" w14:textId="2B76800C" w:rsidR="003C5E1F" w:rsidRPr="00615B42" w:rsidRDefault="008C02D0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8C02D0">
              <w:rPr>
                <w:rFonts w:ascii="Arial" w:hAnsi="Arial"/>
                <w:sz w:val="20"/>
                <w:szCs w:val="20"/>
              </w:rPr>
              <w:t>She lives alone</w:t>
            </w:r>
            <w:r w:rsidR="003C5E1F">
              <w:rPr>
                <w:rFonts w:ascii="Arial" w:hAnsi="Arial"/>
                <w:sz w:val="20"/>
                <w:szCs w:val="20"/>
              </w:rPr>
              <w:t xml:space="preserve"> at home </w:t>
            </w:r>
          </w:p>
          <w:p w14:paraId="36736FD7" w14:textId="440D3D06" w:rsidR="00615B42" w:rsidRPr="00615B42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Supportive daughter close by and grandchildren</w:t>
            </w:r>
          </w:p>
          <w:p w14:paraId="2F7907D2" w14:textId="7B8F71F0" w:rsidR="00615B42" w:rsidRPr="00615B42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Independent with ADLs</w:t>
            </w:r>
          </w:p>
          <w:p w14:paraId="7B2BD02C" w14:textId="790A585F" w:rsidR="00615B42" w:rsidRPr="00615B42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walking’s tick for long distance, otherwise independent </w:t>
            </w:r>
          </w:p>
          <w:p w14:paraId="7D43F49B" w14:textId="4616F7D2" w:rsidR="00202B67" w:rsidRPr="00615B42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Still driving (short) </w:t>
            </w:r>
          </w:p>
          <w:p w14:paraId="6EA1AC22" w14:textId="77777777" w:rsidR="00615B42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Retired factory working </w:t>
            </w:r>
          </w:p>
          <w:p w14:paraId="3CAF9056" w14:textId="0D4BA2D7" w:rsidR="00615B42" w:rsidRPr="00DD4459" w:rsidRDefault="00615B42" w:rsidP="00615B4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Non-smoker, minimal ETOH (red wine with water a night) </w:t>
            </w:r>
          </w:p>
        </w:tc>
        <w:tc>
          <w:tcPr>
            <w:tcW w:w="5670" w:type="dxa"/>
            <w:gridSpan w:val="5"/>
          </w:tcPr>
          <w:p w14:paraId="22C283AA" w14:textId="4EE5797C" w:rsidR="008D759F" w:rsidRDefault="00615B42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Increasing shortness of breath on exertion </w:t>
            </w:r>
            <w:r w:rsidR="0028567F">
              <w:rPr>
                <w:rFonts w:ascii="Arial" w:hAnsi="Arial"/>
                <w:sz w:val="20"/>
                <w:szCs w:val="20"/>
              </w:rPr>
              <w:t xml:space="preserve">last few months </w:t>
            </w:r>
          </w:p>
          <w:p w14:paraId="0C2164E3" w14:textId="77777777" w:rsidR="00615B42" w:rsidRDefault="0028567F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Findings she is having to slow down, no longer able to do line dancing </w:t>
            </w:r>
          </w:p>
          <w:p w14:paraId="35906C7F" w14:textId="5A461FCD" w:rsidR="0028567F" w:rsidRPr="00A476D3" w:rsidRDefault="0028567F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chest pain, oedema, syncope, PND or orthopnoea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7"/>
            <w:shd w:val="clear" w:color="auto" w:fill="D9D9D9" w:themeFill="background1" w:themeFillShade="D9"/>
            <w:vAlign w:val="center"/>
          </w:tcPr>
          <w:p w14:paraId="320D973C" w14:textId="405FCF3A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5E7BCD">
              <w:rPr>
                <w:rFonts w:ascii="Arial" w:hAnsi="Arial"/>
                <w:b/>
                <w:bCs/>
                <w:sz w:val="20"/>
                <w:szCs w:val="20"/>
              </w:rPr>
              <w:t>RNSH 27/6 – Dr Choong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7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75B9470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55-60%</w:t>
                  </w:r>
                </w:p>
              </w:tc>
              <w:tc>
                <w:tcPr>
                  <w:tcW w:w="4721" w:type="dxa"/>
                </w:tcPr>
                <w:p w14:paraId="0F90051B" w14:textId="6549002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1.0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AVAi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0.7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328E5323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4721" w:type="dxa"/>
                </w:tcPr>
                <w:p w14:paraId="2F657553" w14:textId="50C43633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5E7BCD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507C311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4721" w:type="dxa"/>
                </w:tcPr>
                <w:p w14:paraId="76F969DF" w14:textId="0B979A8C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5E7BCD">
                    <w:rPr>
                      <w:rFonts w:ascii="Arial" w:hAnsi="Arial"/>
                      <w:sz w:val="20"/>
                      <w:szCs w:val="20"/>
                    </w:rPr>
                    <w:t>64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3C4AE13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3.0</w:t>
                  </w:r>
                </w:p>
              </w:tc>
              <w:tc>
                <w:tcPr>
                  <w:tcW w:w="4721" w:type="dxa"/>
                </w:tcPr>
                <w:p w14:paraId="083A81C6" w14:textId="026A22DC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5E7BCD">
                    <w:rPr>
                      <w:rFonts w:ascii="Arial" w:hAnsi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34F12B18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  <w:r w:rsidR="005E7BCD" w:rsidRP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Thickened and calcified aortic valve leaflets with reduced mobility, mild regurgitation and moderate aortic stenosis</w:t>
                  </w:r>
                  <w:r w:rsidR="005E7BC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(awaiting Dr Choong review)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2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2"/>
            <w:shd w:val="clear" w:color="auto" w:fill="auto"/>
            <w:vAlign w:val="center"/>
          </w:tcPr>
          <w:p w14:paraId="5334E1FB" w14:textId="4F88B45B" w:rsidR="00AC39F8" w:rsidRPr="006D6391" w:rsidRDefault="008C02D0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8C02D0">
              <w:rPr>
                <w:rFonts w:ascii="Arial" w:hAnsi="Arial"/>
                <w:bCs/>
                <w:sz w:val="20"/>
                <w:szCs w:val="20"/>
                <w:lang w:val="x-none"/>
              </w:rPr>
              <w:t>Mild coronary artery disease only.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19DA71A7" w:rsidR="00AC39F8" w:rsidRPr="00DD4459" w:rsidRDefault="00095802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AF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7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2"/>
            <w:vAlign w:val="center"/>
          </w:tcPr>
          <w:p w14:paraId="50592657" w14:textId="729156DD" w:rsidR="00A00331" w:rsidRPr="00615B42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61B9EDEA" w14:textId="4A5D5C6D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  <w:r w:rsidR="003C5E1F" w:rsidRPr="003C5E1F">
              <w:rPr>
                <w:rFonts w:ascii="Arial" w:hAnsi="Arial"/>
                <w:sz w:val="20"/>
                <w:szCs w:val="20"/>
              </w:rPr>
              <w:t>High right CFA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2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4A4660ED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3C5E1F">
              <w:rPr>
                <w:rFonts w:ascii="Arial" w:hAnsi="Arial"/>
                <w:b/>
                <w:bCs/>
                <w:sz w:val="20"/>
                <w:szCs w:val="20"/>
              </w:rPr>
              <w:t>25/1/25</w:t>
            </w:r>
          </w:p>
        </w:tc>
      </w:tr>
      <w:tr w:rsidR="00095802" w:rsidRPr="00EF793F" w14:paraId="196C6479" w14:textId="77777777" w:rsidTr="00095802">
        <w:trPr>
          <w:cantSplit/>
          <w:trHeight w:val="3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6108E5DB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MOCA:  28/30 (with GP)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915692B" w:rsidR="00095802" w:rsidRPr="00EF793F" w:rsidRDefault="00095802" w:rsidP="00095802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Clinical Frailty Score: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5FBA358D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 131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540BD490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Plts: 183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766B82B6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 60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46B8E732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  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56A70CA6" w:rsidR="00095802" w:rsidRPr="00EF793F" w:rsidRDefault="0009580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 44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BB6608B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8C02D0">
              <w:rPr>
                <w:rFonts w:ascii="Arial" w:hAnsi="Arial"/>
                <w:b/>
                <w:bCs/>
                <w:sz w:val="20"/>
                <w:szCs w:val="20"/>
              </w:rPr>
              <w:t>Dr Bassin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418DEC5C" w:rsidR="006F5F88" w:rsidRPr="002148BF" w:rsidRDefault="003C5E1F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1D70B21E" w:rsidR="009F0463" w:rsidRPr="002148BF" w:rsidRDefault="003C5E1F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C5E1F">
              <w:rPr>
                <w:rFonts w:ascii="Arial" w:hAnsi="Arial"/>
                <w:sz w:val="20"/>
                <w:szCs w:val="20"/>
              </w:rPr>
              <w:t>I believe that Jennifer would benefit from a TAVI, and that would be preferable to surgery at her age if technically feasible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CFF405F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Ravinay Bhindi, Dr Peter Hansen, Dr Malcom Anastasius, Dr Chris Choong, Dr Peter Brady, Dr Geoff Tofler,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95802"/>
    <w:rsid w:val="000A4D06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62638"/>
    <w:rsid w:val="00270061"/>
    <w:rsid w:val="00274E90"/>
    <w:rsid w:val="00282463"/>
    <w:rsid w:val="0028567F"/>
    <w:rsid w:val="00286FAE"/>
    <w:rsid w:val="002911CC"/>
    <w:rsid w:val="002A6CA4"/>
    <w:rsid w:val="002C24C5"/>
    <w:rsid w:val="002D2686"/>
    <w:rsid w:val="002D4942"/>
    <w:rsid w:val="002D6EF6"/>
    <w:rsid w:val="0032194E"/>
    <w:rsid w:val="00323C1F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C5E1F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E7AEC"/>
    <w:rsid w:val="005E7BCD"/>
    <w:rsid w:val="005F5215"/>
    <w:rsid w:val="0060575D"/>
    <w:rsid w:val="00615B42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66461"/>
    <w:rsid w:val="00867E19"/>
    <w:rsid w:val="008803BC"/>
    <w:rsid w:val="0089016C"/>
    <w:rsid w:val="008C02D0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0D1B"/>
    <w:rsid w:val="009A7637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B0F75"/>
    <w:rsid w:val="00BB484E"/>
    <w:rsid w:val="00BC684A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5F3D"/>
    <w:rsid w:val="00CF6774"/>
    <w:rsid w:val="00D070FE"/>
    <w:rsid w:val="00D2544B"/>
    <w:rsid w:val="00D3184E"/>
    <w:rsid w:val="00D36745"/>
    <w:rsid w:val="00D46424"/>
    <w:rsid w:val="00D520C1"/>
    <w:rsid w:val="00D76377"/>
    <w:rsid w:val="00D768D9"/>
    <w:rsid w:val="00D87B63"/>
    <w:rsid w:val="00D9088F"/>
    <w:rsid w:val="00D97073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93FE1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6</cp:revision>
  <cp:lastPrinted>2024-08-23T02:15:00Z</cp:lastPrinted>
  <dcterms:created xsi:type="dcterms:W3CDTF">2025-06-12T03:39:00Z</dcterms:created>
  <dcterms:modified xsi:type="dcterms:W3CDTF">2025-07-04T05:49:00Z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