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  <w:gridCol w:w="5670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shd w:val="clear" w:color="auto" w:fill="CCCCCC"/>
            <w:vAlign w:val="center"/>
          </w:tcPr>
          <w:p w14:paraId="27908EA7" w14:textId="10E263BC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shd w:val="clear" w:color="auto" w:fill="CCCCCC"/>
            <w:vAlign w:val="center"/>
          </w:tcPr>
          <w:p w14:paraId="55D6685B" w14:textId="53424E71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C91B77">
              <w:rPr>
                <w:rFonts w:ascii="Arial" w:hAnsi="Arial"/>
                <w:b/>
                <w:bCs/>
                <w:sz w:val="20"/>
                <w:szCs w:val="20"/>
              </w:rPr>
              <w:t>Bhindi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3ACC3B26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C91B77">
              <w:rPr>
                <w:rFonts w:ascii="Arial" w:hAnsi="Arial"/>
                <w:sz w:val="20"/>
                <w:szCs w:val="20"/>
              </w:rPr>
              <w:t>Robin Stevenson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5A545701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C91B77">
              <w:rPr>
                <w:rFonts w:ascii="Arial" w:hAnsi="Arial"/>
                <w:sz w:val="20"/>
                <w:szCs w:val="20"/>
              </w:rPr>
              <w:t xml:space="preserve">Govindan 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527031DC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C91B77">
              <w:rPr>
                <w:rFonts w:ascii="Arial" w:hAnsi="Arial"/>
                <w:sz w:val="20"/>
                <w:szCs w:val="20"/>
              </w:rPr>
              <w:t>17/10/63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</w:tcPr>
          <w:p w14:paraId="1230B77E" w14:textId="34B21970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C62685">
              <w:rPr>
                <w:rFonts w:ascii="Arial" w:hAnsi="Arial"/>
                <w:sz w:val="20"/>
                <w:szCs w:val="20"/>
              </w:rPr>
              <w:t>0432024989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701DA150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336AA7">
              <w:rPr>
                <w:rFonts w:ascii="Arial" w:hAnsi="Arial"/>
                <w:sz w:val="20"/>
                <w:szCs w:val="20"/>
              </w:rPr>
              <w:t>1126816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14:paraId="2AB20CE8" w14:textId="6A866C88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  <w:r w:rsidR="00A127C3">
              <w:rPr>
                <w:rFonts w:ascii="Arial" w:hAnsi="Arial"/>
                <w:sz w:val="20"/>
                <w:szCs w:val="20"/>
              </w:rPr>
              <w:t>robinstevenson@icloud.com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16DA2AF6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B06EF1">
              <w:rPr>
                <w:rFonts w:ascii="Arial" w:hAnsi="Arial"/>
                <w:sz w:val="20"/>
                <w:szCs w:val="20"/>
              </w:rPr>
              <w:t xml:space="preserve"> </w:t>
            </w:r>
            <w:r w:rsidR="00C91B77">
              <w:rPr>
                <w:rFonts w:ascii="Arial" w:hAnsi="Arial"/>
                <w:sz w:val="20"/>
                <w:szCs w:val="20"/>
              </w:rPr>
              <w:t>61YO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vAlign w:val="center"/>
          </w:tcPr>
          <w:p w14:paraId="4320F2D5" w14:textId="2F86A64B" w:rsidR="00286FAE" w:rsidRPr="00B655D9" w:rsidRDefault="00B06EF1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Weight:</w:t>
            </w:r>
            <w:r w:rsidR="00A127C3">
              <w:rPr>
                <w:rFonts w:ascii="Arial" w:hAnsi="Arial"/>
                <w:sz w:val="20"/>
                <w:szCs w:val="20"/>
              </w:rPr>
              <w:t xml:space="preserve"> 180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D1ED0">
              <w:rPr>
                <w:rFonts w:ascii="Arial" w:hAnsi="Arial"/>
                <w:sz w:val="20"/>
                <w:szCs w:val="20"/>
              </w:rPr>
              <w:t>Height:</w:t>
            </w:r>
            <w:r w:rsidR="00A127C3">
              <w:rPr>
                <w:rFonts w:ascii="Arial" w:hAnsi="Arial"/>
                <w:sz w:val="20"/>
                <w:szCs w:val="20"/>
              </w:rPr>
              <w:t xml:space="preserve"> 66kg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</w:tcPr>
          <w:p w14:paraId="165E4FFC" w14:textId="77777777" w:rsidR="002D709C" w:rsidRPr="002D709C" w:rsidRDefault="009D0830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 xml:space="preserve">Alcohol addiction </w:t>
            </w:r>
          </w:p>
          <w:p w14:paraId="7057AC68" w14:textId="77777777" w:rsidR="002D709C" w:rsidRPr="002D709C" w:rsidRDefault="009D0830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 xml:space="preserve">Aortic stenosis </w:t>
            </w:r>
            <w:r w:rsidR="002D709C">
              <w:rPr>
                <w:rFonts w:ascii="Arial" w:hAnsi="Arial"/>
                <w:sz w:val="20"/>
                <w:szCs w:val="20"/>
              </w:rPr>
              <w:br/>
              <w:t xml:space="preserve">- </w:t>
            </w:r>
            <w:r w:rsidRPr="009D0830">
              <w:rPr>
                <w:rFonts w:ascii="Arial" w:hAnsi="Arial"/>
                <w:sz w:val="20"/>
                <w:szCs w:val="20"/>
              </w:rPr>
              <w:t>Bicuspid aortic valve</w:t>
            </w:r>
          </w:p>
          <w:p w14:paraId="7CEAD27B" w14:textId="77777777" w:rsidR="002D709C" w:rsidRPr="002D709C" w:rsidRDefault="009D0830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 xml:space="preserve">Aortic aneurysm Infra-renal 3.2cm </w:t>
            </w:r>
          </w:p>
          <w:p w14:paraId="79331B47" w14:textId="77777777" w:rsidR="002D709C" w:rsidRPr="002D709C" w:rsidRDefault="009D0830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 xml:space="preserve">Fibular fracture Fall </w:t>
            </w:r>
            <w:proofErr w:type="gramStart"/>
            <w:r w:rsidRPr="009D0830">
              <w:rPr>
                <w:rFonts w:ascii="Arial" w:hAnsi="Arial"/>
                <w:sz w:val="20"/>
                <w:szCs w:val="20"/>
              </w:rPr>
              <w:t>down stairs</w:t>
            </w:r>
            <w:proofErr w:type="gramEnd"/>
            <w:r w:rsidRPr="009D0830">
              <w:rPr>
                <w:rFonts w:ascii="Arial" w:hAnsi="Arial"/>
                <w:sz w:val="20"/>
                <w:szCs w:val="20"/>
              </w:rPr>
              <w:t>, intoxicated</w:t>
            </w:r>
          </w:p>
          <w:p w14:paraId="0FDF0F51" w14:textId="77777777" w:rsidR="002D709C" w:rsidRPr="002D709C" w:rsidRDefault="002D709C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>P</w:t>
            </w:r>
            <w:r w:rsidR="009D0830" w:rsidRPr="009D0830">
              <w:rPr>
                <w:rFonts w:ascii="Arial" w:hAnsi="Arial"/>
                <w:sz w:val="20"/>
                <w:szCs w:val="20"/>
              </w:rPr>
              <w:t>eri-orbital hematoma 2025</w:t>
            </w:r>
          </w:p>
          <w:p w14:paraId="77102246" w14:textId="7B5B3D3C" w:rsidR="00C62685" w:rsidRPr="002D6EF6" w:rsidRDefault="009D0830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>Coronary artery disease RCA stenosis on angiogram</w:t>
            </w:r>
            <w:r w:rsidR="00C62685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</w:p>
        </w:tc>
        <w:tc>
          <w:tcPr>
            <w:tcW w:w="5670" w:type="dxa"/>
          </w:tcPr>
          <w:p w14:paraId="6FE9B729" w14:textId="77777777" w:rsidR="002D709C" w:rsidRPr="002D709C" w:rsidRDefault="009D0830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 xml:space="preserve">Aspirin 100mg </w:t>
            </w:r>
          </w:p>
          <w:p w14:paraId="3FC21087" w14:textId="77777777" w:rsidR="002D709C" w:rsidRPr="002D709C" w:rsidRDefault="009D0830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 xml:space="preserve">Naltrexone 50mg </w:t>
            </w:r>
          </w:p>
          <w:p w14:paraId="1C8E8C12" w14:textId="77777777" w:rsidR="002D709C" w:rsidRPr="002D709C" w:rsidRDefault="009D0830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 w:rsidRPr="009D0830">
              <w:rPr>
                <w:rFonts w:ascii="Arial" w:hAnsi="Arial"/>
                <w:sz w:val="20"/>
                <w:szCs w:val="20"/>
              </w:rPr>
              <w:t>Ostelin</w:t>
            </w:r>
            <w:proofErr w:type="spellEnd"/>
            <w:r w:rsidRPr="009D0830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0B5323E4" w14:textId="77777777" w:rsidR="002D709C" w:rsidRPr="002D709C" w:rsidRDefault="009D0830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 xml:space="preserve">Rosuvastatin 10mg </w:t>
            </w:r>
          </w:p>
          <w:p w14:paraId="5FD71341" w14:textId="77777777" w:rsidR="002D709C" w:rsidRPr="002D709C" w:rsidRDefault="009D0830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 xml:space="preserve">Thiamine 100mg </w:t>
            </w:r>
            <w:r w:rsidR="002D709C">
              <w:rPr>
                <w:rFonts w:ascii="Arial" w:hAnsi="Arial"/>
                <w:sz w:val="20"/>
                <w:szCs w:val="20"/>
              </w:rPr>
              <w:t xml:space="preserve">TDS </w:t>
            </w:r>
          </w:p>
          <w:p w14:paraId="4CC15173" w14:textId="77777777" w:rsidR="002D709C" w:rsidRPr="002D709C" w:rsidRDefault="009D0830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 xml:space="preserve">Vitamin B12 100mcg </w:t>
            </w:r>
          </w:p>
          <w:p w14:paraId="5B53F7D0" w14:textId="776730A0" w:rsidR="008D759F" w:rsidRPr="00DD4459" w:rsidRDefault="009D0830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>Zoloft 50mg Tablet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</w:tcPr>
          <w:p w14:paraId="36561CA6" w14:textId="1CC1D0EF" w:rsidR="000D30D5" w:rsidRDefault="00DD4459" w:rsidP="000D30D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D4459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0D30D5">
              <w:rPr>
                <w:rFonts w:ascii="Arial" w:hAnsi="Arial"/>
                <w:sz w:val="20"/>
                <w:szCs w:val="20"/>
                <w:lang w:val="x-none"/>
              </w:rPr>
              <w:t xml:space="preserve">Lives at home alone </w:t>
            </w:r>
            <w:r w:rsidR="000D30D5"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~ supportive ex- partner </w:t>
            </w:r>
          </w:p>
          <w:p w14:paraId="0ED8086D" w14:textId="1120F98A" w:rsidR="000D30D5" w:rsidRPr="000D30D5" w:rsidRDefault="000D30D5" w:rsidP="000D30D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Moved from Scotland 15 years ago </w:t>
            </w:r>
          </w:p>
          <w:p w14:paraId="283067E0" w14:textId="3AF24FD4" w:rsidR="000D30D5" w:rsidRPr="00DD4459" w:rsidRDefault="000D30D5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Independent with ADLs and mobility </w:t>
            </w:r>
          </w:p>
          <w:p w14:paraId="7DA201FC" w14:textId="77777777" w:rsidR="002360FF" w:rsidRPr="00C91B77" w:rsidRDefault="000D30D5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Was working in bush regeneration </w:t>
            </w:r>
            <w:r>
              <w:rPr>
                <w:rFonts w:ascii="Arial" w:hAnsi="Arial"/>
                <w:sz w:val="20"/>
                <w:szCs w:val="20"/>
              </w:rPr>
              <w:br/>
              <w:t>~ hasn’t been working since March</w:t>
            </w:r>
          </w:p>
          <w:p w14:paraId="29EAD53C" w14:textId="6DD02C7E" w:rsidR="00C91B77" w:rsidRPr="000D30D5" w:rsidRDefault="00C91B77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Still train </w:t>
            </w:r>
          </w:p>
          <w:p w14:paraId="71C6B499" w14:textId="77777777" w:rsidR="000D30D5" w:rsidRPr="000D30D5" w:rsidRDefault="000D30D5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Smoker 10-40 years, will continue </w:t>
            </w:r>
          </w:p>
          <w:p w14:paraId="3CAF9056" w14:textId="41F83F76" w:rsidR="000D30D5" w:rsidRPr="00DD4459" w:rsidRDefault="000D30D5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ETOH 15-20 std a day, has increased since stopping work </w:t>
            </w:r>
          </w:p>
        </w:tc>
        <w:tc>
          <w:tcPr>
            <w:tcW w:w="5670" w:type="dxa"/>
          </w:tcPr>
          <w:p w14:paraId="4B11D710" w14:textId="2CE0BFD1" w:rsidR="000D30D5" w:rsidRDefault="000D30D5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Noticing having to slow down </w:t>
            </w:r>
            <w:r w:rsidR="00336AA7">
              <w:rPr>
                <w:rFonts w:ascii="Arial" w:hAnsi="Arial"/>
                <w:sz w:val="20"/>
                <w:szCs w:val="20"/>
              </w:rPr>
              <w:t xml:space="preserve">with some associated </w:t>
            </w:r>
            <w:r>
              <w:rPr>
                <w:rFonts w:ascii="Arial" w:hAnsi="Arial"/>
                <w:sz w:val="20"/>
                <w:szCs w:val="20"/>
              </w:rPr>
              <w:t xml:space="preserve">SOB </w:t>
            </w:r>
          </w:p>
          <w:p w14:paraId="16444270" w14:textId="581CF535" w:rsidR="000D30D5" w:rsidRDefault="000D30D5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Chest tightness on exertion </w:t>
            </w:r>
          </w:p>
          <w:p w14:paraId="35906C7F" w14:textId="7BF1B87A" w:rsidR="000D30D5" w:rsidRPr="00A476D3" w:rsidRDefault="000D30D5" w:rsidP="000D30D5">
            <w:pPr>
              <w:pStyle w:val="ListParagraph"/>
              <w:keepNext/>
              <w:spacing w:before="40" w:afterLines="40" w:after="96" w:line="240" w:lineRule="auto"/>
              <w:ind w:left="50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2"/>
            <w:shd w:val="clear" w:color="auto" w:fill="D9D9D9" w:themeFill="background1" w:themeFillShade="D9"/>
            <w:vAlign w:val="center"/>
          </w:tcPr>
          <w:p w14:paraId="320D973C" w14:textId="42F69E8A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336AA7">
              <w:rPr>
                <w:rFonts w:ascii="Arial" w:hAnsi="Arial"/>
                <w:b/>
                <w:bCs/>
                <w:sz w:val="20"/>
                <w:szCs w:val="20"/>
              </w:rPr>
              <w:t xml:space="preserve">Dr Govindan rooms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2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0D8FF358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336AA7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43%</w:t>
                  </w:r>
                </w:p>
              </w:tc>
              <w:tc>
                <w:tcPr>
                  <w:tcW w:w="4721" w:type="dxa"/>
                </w:tcPr>
                <w:p w14:paraId="0F90051B" w14:textId="6C222679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A127C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0.9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04482D3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336AA7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92</w:t>
                  </w:r>
                </w:p>
              </w:tc>
              <w:tc>
                <w:tcPr>
                  <w:tcW w:w="4721" w:type="dxa"/>
                </w:tcPr>
                <w:p w14:paraId="2F657553" w14:textId="60E8A6C0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  <w:r w:rsidR="00336AA7">
                    <w:rPr>
                      <w:rFonts w:ascii="Arial" w:hAnsi="Arial"/>
                      <w:sz w:val="20"/>
                      <w:szCs w:val="20"/>
                    </w:rPr>
                    <w:t xml:space="preserve">Moderate 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5A161956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336AA7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4721" w:type="dxa"/>
                </w:tcPr>
                <w:p w14:paraId="76F969DF" w14:textId="4DB9E82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0294C871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336AA7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4.8</w:t>
                  </w:r>
                </w:p>
              </w:tc>
              <w:tc>
                <w:tcPr>
                  <w:tcW w:w="4721" w:type="dxa"/>
                </w:tcPr>
                <w:p w14:paraId="083A81C6" w14:textId="2131171D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A127C3">
                    <w:rPr>
                      <w:rFonts w:ascii="Arial" w:hAnsi="Arial"/>
                      <w:sz w:val="20"/>
                      <w:szCs w:val="20"/>
                    </w:rPr>
                    <w:t>Mild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38F56371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A127C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Bicuspid aortic valve with severe aortic stenosis. 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29D7093" w14:textId="0F6D43AF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shd w:val="clear" w:color="auto" w:fill="auto"/>
            <w:vAlign w:val="center"/>
          </w:tcPr>
          <w:p w14:paraId="5334E1FB" w14:textId="4CF5C085" w:rsidR="00AC39F8" w:rsidRPr="006D6391" w:rsidRDefault="00A127C3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 xml:space="preserve">Mid RCA 80% stenosis. Tortuous anatomy 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897FBC1" w14:textId="4C9C3591" w:rsidR="00AC39F8" w:rsidRPr="00DD4459" w:rsidRDefault="00A127C3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SR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2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vAlign w:val="center"/>
          </w:tcPr>
          <w:p w14:paraId="50592657" w14:textId="28C81C0F" w:rsidR="00A00331" w:rsidRPr="00FA533D" w:rsidRDefault="00A127C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E933E8" wp14:editId="5079178F">
                  <wp:extent cx="2524125" cy="2105025"/>
                  <wp:effectExtent l="0" t="0" r="9525" b="9525"/>
                  <wp:docPr id="1865750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7502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61B9EDEA" w14:textId="76E5FE26" w:rsidR="002D6EF6" w:rsidRPr="00A127C3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  <w:r w:rsidR="00A127C3">
              <w:rPr>
                <w:rFonts w:ascii="Arial" w:hAnsi="Arial"/>
                <w:sz w:val="20"/>
                <w:szCs w:val="20"/>
              </w:rPr>
              <w:t xml:space="preserve">High left CFA bifurcation 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7CED0B8B" w14:textId="4F781CCB" w:rsidR="00A00331" w:rsidRPr="00A127C3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  <w:r w:rsidR="00A127C3">
              <w:rPr>
                <w:rFonts w:ascii="Arial" w:hAnsi="Arial"/>
                <w:sz w:val="20"/>
                <w:szCs w:val="20"/>
              </w:rPr>
              <w:t xml:space="preserve">No significant incidental findings </w:t>
            </w:r>
          </w:p>
        </w:tc>
      </w:tr>
      <w:tr w:rsidR="001E0B7D" w:rsidRPr="00EF793F" w14:paraId="403D0B88" w14:textId="77777777" w:rsidTr="00202B67">
        <w:trPr>
          <w:cantSplit/>
          <w:trHeight w:val="369"/>
        </w:trPr>
        <w:tc>
          <w:tcPr>
            <w:tcW w:w="5529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527F7DA" w14:textId="09B43410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PFT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C2D27" w14:textId="00F8C719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Carotid</w:t>
            </w:r>
          </w:p>
        </w:tc>
      </w:tr>
      <w:tr w:rsidR="001E0B7D" w:rsidRPr="00EF793F" w14:paraId="57A186A6" w14:textId="77777777" w:rsidTr="001E0B7D">
        <w:trPr>
          <w:cantSplit/>
          <w:trHeight w:val="369"/>
        </w:trPr>
        <w:tc>
          <w:tcPr>
            <w:tcW w:w="5529" w:type="dxa"/>
            <w:tcBorders>
              <w:bottom w:val="nil"/>
            </w:tcBorders>
            <w:shd w:val="clear" w:color="auto" w:fill="auto"/>
          </w:tcPr>
          <w:p w14:paraId="7E7A38A3" w14:textId="2CE3E204" w:rsidR="001E0B7D" w:rsidRPr="001E0B7D" w:rsidRDefault="001E0B7D" w:rsidP="001E0B7D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DBC857" w14:textId="55798F70" w:rsidR="001E0B7D" w:rsidRPr="001E0B7D" w:rsidRDefault="002D6EF6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1FF8E6EF" w:rsidR="009F0463" w:rsidRPr="00EF793F" w:rsidRDefault="00A127C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PFT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64291221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A127C3">
              <w:rPr>
                <w:rFonts w:ascii="Arial" w:hAnsi="Arial"/>
                <w:b/>
                <w:bCs/>
                <w:sz w:val="20"/>
                <w:szCs w:val="20"/>
              </w:rPr>
              <w:t>14/7/25</w:t>
            </w:r>
          </w:p>
        </w:tc>
      </w:tr>
      <w:tr w:rsidR="00A127C3" w:rsidRPr="00EF793F" w14:paraId="196C6479" w14:textId="77777777" w:rsidTr="00C62685">
        <w:trPr>
          <w:cantSplit/>
          <w:trHeight w:val="503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056281EC" w:rsidR="00A127C3" w:rsidRPr="00EF793F" w:rsidRDefault="00A127C3" w:rsidP="00A127C3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FEV1: 59%, FVC: 71%, FEV1/FVC: 83% </w:t>
            </w:r>
            <w:r>
              <w:rPr>
                <w:rFonts w:ascii="Arial" w:hAnsi="Arial"/>
                <w:noProof/>
                <w:sz w:val="20"/>
                <w:szCs w:val="20"/>
              </w:rPr>
              <w:br/>
            </w:r>
            <w:r w:rsidRPr="00A127C3">
              <w:rPr>
                <w:rFonts w:ascii="Arial" w:hAnsi="Arial"/>
                <w:noProof/>
                <w:sz w:val="20"/>
                <w:szCs w:val="20"/>
                <w:lang w:val="en-AU"/>
              </w:rPr>
              <w:t>This pattern is in keeping with COPD.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BD4E2A" w14:textId="2D890F49" w:rsidR="00A127C3" w:rsidRPr="00EF793F" w:rsidRDefault="00A127C3" w:rsidP="00A127C3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Hb: 153,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 222, Cre: 60, eGFR:  90, Albumin: 72</w:t>
            </w:r>
            <w:r>
              <w:rPr>
                <w:rFonts w:ascii="Arial" w:hAnsi="Arial"/>
                <w:sz w:val="20"/>
                <w:szCs w:val="20"/>
              </w:rPr>
              <w:br/>
            </w:r>
            <w:r w:rsidR="00C62685">
              <w:rPr>
                <w:rFonts w:ascii="Arial" w:hAnsi="Arial"/>
                <w:sz w:val="20"/>
                <w:szCs w:val="20"/>
              </w:rPr>
              <w:t>GGT: 325 (471) LDH 223 (276), AST 140 (249), ALT 93 (159)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26DB2320" w:rsidR="009F0463" w:rsidRPr="00EF793F" w:rsidRDefault="00AF59E5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Cardiothoracic: 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A127C3">
              <w:rPr>
                <w:rFonts w:ascii="Arial" w:hAnsi="Arial"/>
                <w:b/>
                <w:bCs/>
                <w:sz w:val="20"/>
                <w:szCs w:val="20"/>
              </w:rPr>
              <w:t>Dr Bassin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10A69BFB" w:rsidR="006F5F88" w:rsidRPr="002148BF" w:rsidRDefault="00A127C3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N/A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5D8A5A0E" w:rsidR="009F0463" w:rsidRPr="002148BF" w:rsidRDefault="009D0830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9D0830">
              <w:rPr>
                <w:rFonts w:ascii="Arial" w:hAnsi="Arial"/>
                <w:sz w:val="20"/>
                <w:szCs w:val="20"/>
              </w:rPr>
              <w:t xml:space="preserve">I believe that a surgical AVR (bioprosthetic) and coronary bypass with a saphenous vein to the RCA is the best option for him, given his age and bicuspid valve. I explained the risks and benefits, including the risk of mortality, stroke, infection, bleeding, permanent pacemaker, AMI, and a higher risk of pneumonia given his current smoking. He is quite hesitant about the idea of open </w:t>
            </w:r>
            <w:proofErr w:type="gramStart"/>
            <w:r w:rsidRPr="009D0830">
              <w:rPr>
                <w:rFonts w:ascii="Arial" w:hAnsi="Arial"/>
                <w:sz w:val="20"/>
                <w:szCs w:val="20"/>
              </w:rPr>
              <w:t>surgery, but</w:t>
            </w:r>
            <w:proofErr w:type="gramEnd"/>
            <w:r w:rsidRPr="009D0830">
              <w:rPr>
                <w:rFonts w:ascii="Arial" w:hAnsi="Arial"/>
                <w:sz w:val="20"/>
                <w:szCs w:val="20"/>
              </w:rPr>
              <w:t xml:space="preserve"> is open to it.</w:t>
            </w: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784F0798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</w:t>
            </w:r>
            <w:r w:rsidR="00984C45">
              <w:rPr>
                <w:rFonts w:ascii="Arial" w:hAnsi="Arial"/>
                <w:color w:val="FF0000"/>
                <w:sz w:val="20"/>
                <w:szCs w:val="20"/>
                <w:u w:val="double"/>
              </w:rPr>
              <w:t xml:space="preserve">Dr Michael Ward,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2313E"/>
    <w:rsid w:val="00050D04"/>
    <w:rsid w:val="000555B5"/>
    <w:rsid w:val="00067DDB"/>
    <w:rsid w:val="00091820"/>
    <w:rsid w:val="000A4D06"/>
    <w:rsid w:val="000A517F"/>
    <w:rsid w:val="000C22E6"/>
    <w:rsid w:val="000C3857"/>
    <w:rsid w:val="000D30D5"/>
    <w:rsid w:val="000D4B12"/>
    <w:rsid w:val="000F6318"/>
    <w:rsid w:val="001013B6"/>
    <w:rsid w:val="00111CAC"/>
    <w:rsid w:val="001130C0"/>
    <w:rsid w:val="00116114"/>
    <w:rsid w:val="00127863"/>
    <w:rsid w:val="00135CEB"/>
    <w:rsid w:val="00146CA1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3535"/>
    <w:rsid w:val="001E53F1"/>
    <w:rsid w:val="001F0211"/>
    <w:rsid w:val="001F3AAF"/>
    <w:rsid w:val="00202865"/>
    <w:rsid w:val="00202B67"/>
    <w:rsid w:val="0020604E"/>
    <w:rsid w:val="00214FB8"/>
    <w:rsid w:val="00221C92"/>
    <w:rsid w:val="00223EBB"/>
    <w:rsid w:val="0022607A"/>
    <w:rsid w:val="002360FF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2D709C"/>
    <w:rsid w:val="0032194E"/>
    <w:rsid w:val="00332B20"/>
    <w:rsid w:val="00336AA7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6C6A"/>
    <w:rsid w:val="003E32C5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C08F3"/>
    <w:rsid w:val="005C544E"/>
    <w:rsid w:val="005C7236"/>
    <w:rsid w:val="005D157A"/>
    <w:rsid w:val="005D625B"/>
    <w:rsid w:val="005E7AEC"/>
    <w:rsid w:val="005F5215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537E4"/>
    <w:rsid w:val="00866461"/>
    <w:rsid w:val="00867E19"/>
    <w:rsid w:val="008803BC"/>
    <w:rsid w:val="0089016C"/>
    <w:rsid w:val="008A4AF7"/>
    <w:rsid w:val="008C22A2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84C45"/>
    <w:rsid w:val="00990202"/>
    <w:rsid w:val="009942AF"/>
    <w:rsid w:val="00996BD8"/>
    <w:rsid w:val="009A0D1B"/>
    <w:rsid w:val="009B7597"/>
    <w:rsid w:val="009D0830"/>
    <w:rsid w:val="009D243F"/>
    <w:rsid w:val="009F0463"/>
    <w:rsid w:val="009F3AF8"/>
    <w:rsid w:val="009F4222"/>
    <w:rsid w:val="00A00331"/>
    <w:rsid w:val="00A03D2C"/>
    <w:rsid w:val="00A065F7"/>
    <w:rsid w:val="00A127C3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AF59E5"/>
    <w:rsid w:val="00B06EF1"/>
    <w:rsid w:val="00B23299"/>
    <w:rsid w:val="00B3533F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A54BD"/>
    <w:rsid w:val="00BB0F75"/>
    <w:rsid w:val="00BB484E"/>
    <w:rsid w:val="00BD1ED0"/>
    <w:rsid w:val="00BE46DD"/>
    <w:rsid w:val="00BE7264"/>
    <w:rsid w:val="00C05E6B"/>
    <w:rsid w:val="00C10321"/>
    <w:rsid w:val="00C222B3"/>
    <w:rsid w:val="00C3667E"/>
    <w:rsid w:val="00C444BF"/>
    <w:rsid w:val="00C62685"/>
    <w:rsid w:val="00C774C1"/>
    <w:rsid w:val="00C8114E"/>
    <w:rsid w:val="00C81ED0"/>
    <w:rsid w:val="00C82CBA"/>
    <w:rsid w:val="00C90237"/>
    <w:rsid w:val="00C91494"/>
    <w:rsid w:val="00C91B77"/>
    <w:rsid w:val="00CA7CD8"/>
    <w:rsid w:val="00CB59C6"/>
    <w:rsid w:val="00CC0782"/>
    <w:rsid w:val="00CE4774"/>
    <w:rsid w:val="00CE4AE3"/>
    <w:rsid w:val="00CF6774"/>
    <w:rsid w:val="00D070FE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A4AAA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A16AA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933DA"/>
    <w:rsid w:val="00FA533D"/>
    <w:rsid w:val="00FD70A2"/>
    <w:rsid w:val="00FE25E8"/>
    <w:rsid w:val="00FF12DA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5</cp:revision>
  <cp:lastPrinted>2024-08-23T02:15:00Z</cp:lastPrinted>
  <dcterms:created xsi:type="dcterms:W3CDTF">2025-06-30T05:27:00Z</dcterms:created>
  <dcterms:modified xsi:type="dcterms:W3CDTF">2025-08-11T04:06:00Z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