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F4E79"/>
          <w:sz w:val="48"/>
          <w:szCs w:val="48"/>
        </w:rPr>
        <w:t xml:space="preserve">Data-Barometer-Synapsun</w:t>
      </w:r>
    </w:p>
    <w:p>
      <w:pPr>
        <w:spacing w:after="200"/>
        <w:jc w:val="center"/>
      </w:pPr>
      <w:r>
        <w:rPr>
          <w:rFonts w:ascii="Arial" w:cs="Arial" w:eastAsia="Arial" w:hAnsi="Arial"/>
          <w:color w:val="666666"/>
          <w:sz w:val="32"/>
          <w:szCs w:val="32"/>
        </w:rPr>
        <w:t xml:space="preserve">Document de Contexte Projet</w:t>
      </w:r>
    </w:p>
    <w:p>
      <w:pPr>
        <w:spacing w:after="600"/>
        <w:jc w:val="center"/>
      </w:pPr>
      <w:r>
        <w:rPr>
          <w:color w:val="999999"/>
          <w:sz w:val="22"/>
          <w:szCs w:val="22"/>
        </w:rPr>
        <w:t xml:space="preserve">Version 1.0 - Mai 2026</w:t>
      </w:r>
    </w:p>
    <w:p>
      <w:pPr>
        <w:spacing w:after="200"/>
        <w:jc w:val="center"/>
      </w:pPr>
      <w:r>
        <w:rPr>
          <w:i/>
          <w:iCs/>
          <w:color w:val="555555"/>
          <w:sz w:val="24"/>
          <w:szCs w:val="24"/>
        </w:rPr>
        <w:t xml:space="preserve">Dashboard interactif de suivi des prix PV (TaiyangNews)</w:t>
      </w:r>
    </w:p>
    <w:p>
      <w:r>
        <w:br w:type="page"/>
      </w:r>
    </w:p>
    <w:p>
      <w:pPr>
        <w:pStyle w:val="Heading1"/>
      </w:pPr>
      <w:r>
        <w:t xml:space="preserve">1. Vue d'ensemble</w:t>
      </w:r>
    </w:p>
    <w:p>
      <w:pPr>
        <w:spacing w:after="120"/>
      </w:pPr>
      <w:r>
        <w:t xml:space="preserve">Le projet Data-Barometer-Synapsun est un dashboard HTML interactif affichant les données de l'indice TaiyangNews PV Price Index. Les données sont scrapées dans un Google Sheet et le dashboard est hébergé sur GitHub Pages.</w:t>
      </w:r>
    </w:p>
    <w:p>
      <w:pPr>
        <w:pStyle w:val="Heading2"/>
      </w:pPr>
      <w:r>
        <w:t xml:space="preserve">1.1 Liens clés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Ressource</w:t>
            </w:r>
          </w:p>
        </w:tc>
        <w:tc>
          <w:tcPr>
            <w:tcW w:type="dxa" w:w="600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URL / Identifiant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Dashboard (production)</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https://it-dev-synapsun.github.io/graph-gsheet-tayang/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Repo GitHub</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it-dev-synapsun/graph-gsheet-tayang (branche main)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Google Sheet ID</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1uZeF8NfStd_j7_rBL9pmAcT-RrOM4xQ7PE--Siekidw</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Nom du Google Sheet</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Data-Barometer-Synapsun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Onglet source</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taiyangnews_scrapping (gid=0)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API CSV utilisée</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https://docs.google.com/spreadsheets/d/{ID}/gviz/tq?tqx=out:csv&amp;gid=0</w:t>
            </w:r>
          </w:p>
        </w:tc>
      </w:tr>
    </w:tbl>
    <w:p>
      <w:pPr>
        <w:spacing w:after="120"/>
      </w:pPr>
    </w:p>
    <w:p>
      <w:pPr>
        <w:pStyle w:val="Heading1"/>
      </w:pPr>
      <w:r>
        <w:t xml:space="preserve">2. Structure du Google Sheet</w:t>
      </w:r>
    </w:p>
    <w:p>
      <w:pPr>
        <w:spacing w:after="120"/>
      </w:pPr>
      <w:r>
        <w:t xml:space="preserve">L'onglet taiyangnews_scrapping (gid=0) a la structure suivante :</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5006"/>
      </w:tblGrid>
      <w:tr>
        <w:tc>
          <w:tcPr>
            <w:tcW w:type="dxa" w:w="1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Colonne</w:t>
            </w:r>
          </w:p>
        </w:tc>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Contenu</w:t>
            </w:r>
          </w:p>
        </w:tc>
        <w:tc>
          <w:tcPr>
            <w:tcW w:type="dxa" w:w="500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Rôle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Category</w:t>
            </w:r>
          </w:p>
        </w:tc>
        <w:tc>
          <w:tcPr>
            <w:tcW w:type="dxa" w:w="5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Type de produit : Polysilicon, Wafer, Cell, Module, Glass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Product name</w:t>
            </w:r>
          </w:p>
        </w:tc>
        <w:tc>
          <w:tcPr>
            <w:tcW w:type="dxa" w:w="5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Nom du produit (libellé affiché dans les graphiques)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Show line in Barometer (YES/NO)</w:t>
            </w:r>
          </w:p>
        </w:tc>
        <w:tc>
          <w:tcPr>
            <w:tcW w:type="dxa" w:w="5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Filtre d'affichage : seules les lignes YES sont prises en compte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Données hebdomadaires</w:t>
            </w:r>
          </w:p>
        </w:tc>
        <w:tc>
          <w:tcPr>
            <w:tcW w:type="dxa" w:w="5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Prix au format W{num}-{year} (ex: W1-2024, W2-2024...)</w:t>
            </w:r>
          </w:p>
        </w:tc>
      </w:tr>
    </w:tbl>
    <w:p>
      <w:pPr>
        <w:spacing w:after="120"/>
      </w:pPr>
    </w:p>
    <w:p>
      <w:pPr>
        <w:spacing w:after="120"/>
      </w:pPr>
      <w:r>
        <w:t xml:space="preserve">Points importants :</w:t>
      </w:r>
    </w:p>
    <w:p>
      <w:pPr>
        <w:spacing w:after="120"/>
      </w:pPr>
      <w:r>
        <w:rPr>
          <w:b/>
          <w:bCs/>
        </w:rPr>
        <w:t xml:space="preserve">35 lignes de produits</w:t>
      </w:r>
      <w:r>
        <w:t xml:space="preserve"> réparties en 5 catégories</w:t>
      </w:r>
    </w:p>
    <w:p>
      <w:pPr>
        <w:spacing w:after="120"/>
      </w:pPr>
      <w:r>
        <w:rPr>
          <w:b/>
          <w:bCs/>
        </w:rPr>
        <w:t xml:space="preserve">gid=0</w:t>
      </w:r>
      <w:r>
        <w:t xml:space="preserve"> pointe toujours vers l'onglet source, indépendamment de son nom ou sa position</w:t>
      </w:r>
    </w:p>
    <w:p>
      <w:pPr>
        <w:spacing w:after="120"/>
      </w:pPr>
      <w:r>
        <w:t xml:space="preserve">Un onglet </w:t>
      </w:r>
      <w:r>
        <w:rPr>
          <w:b/>
          <w:bCs/>
        </w:rPr>
        <w:t xml:space="preserve">Analysis_Barometer</w:t>
      </w:r>
      <w:r>
        <w:t xml:space="preserve"> existe mais n'est pas utilisé par le dashboard</w:t>
      </w:r>
    </w:p>
    <w:p>
      <w:pPr>
        <w:pStyle w:val="Heading1"/>
      </w:pPr>
      <w:r>
        <w:t xml:space="preserve">3. Catégories de produits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6"/>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Catégorie</w:t>
            </w:r>
          </w:p>
        </w:tc>
        <w:tc>
          <w:tcPr>
            <w:tcW w:type="dxa" w:w="2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Unités typiques</w:t>
            </w:r>
          </w:p>
        </w:tc>
        <w:tc>
          <w:tcPr>
            <w:tcW w:type="dxa" w:w="500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Particularité</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Polysilicon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RMB/kg</w:t>
            </w:r>
          </w:p>
        </w:tc>
        <w:tc>
          <w:tcPr>
            <w:tcW w:type="dxa" w:w="5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Inclut FBR Granular Silicon (renommé dans l'affichage)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Wafer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RMB/pc (piece)</w:t>
            </w:r>
          </w:p>
        </w:tc>
        <w:tc>
          <w:tcPr>
            <w:tcW w:type="dxa" w:w="5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Wafers mono/multi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Cell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RMB/W</w:t>
            </w:r>
          </w:p>
        </w:tc>
        <w:tc>
          <w:tcPr>
            <w:tcW w:type="dxa" w:w="5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Cellules solaires (TOPCon, HJT, etc.)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Module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RMB/W</w:t>
            </w:r>
          </w:p>
        </w:tc>
        <w:tc>
          <w:tcPr>
            <w:tcW w:type="dxa" w:w="5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Démarre à W38-2024 (pas de données avant)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Glass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RMB/m²</w:t>
            </w:r>
          </w:p>
        </w:tc>
        <w:tc>
          <w:tcPr>
            <w:tcW w:type="dxa" w:w="5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Verre solaire</w:t>
            </w:r>
          </w:p>
        </w:tc>
      </w:tr>
    </w:tbl>
    <w:p>
      <w:pPr>
        <w:spacing w:after="120"/>
      </w:pPr>
    </w:p>
    <w:p>
      <w:pPr>
        <w:pStyle w:val="Heading1"/>
      </w:pPr>
      <w:r>
        <w:t xml:space="preserve">4. Architecture du Dashboard (index.html)</w:t>
      </w:r>
    </w:p>
    <w:p>
      <w:pPr>
        <w:pStyle w:val="Heading2"/>
      </w:pPr>
      <w:r>
        <w:t xml:space="preserve">4.1 Stack technique</w:t>
      </w:r>
    </w:p>
    <w:p>
      <w:pPr>
        <w:spacing w:after="120"/>
      </w:pPr>
      <w:r>
        <w:rPr>
          <w:b/>
          <w:bCs/>
        </w:rPr>
        <w:t xml:space="preserve">Fichier unique : </w:t>
      </w:r>
      <w:r>
        <w:t xml:space="preserve">index.html (HTML + CSS + JS inline)</w:t>
      </w:r>
    </w:p>
    <w:p>
      <w:pPr>
        <w:spacing w:after="120"/>
      </w:pPr>
      <w:r>
        <w:rPr>
          <w:b/>
          <w:bCs/>
        </w:rPr>
        <w:t xml:space="preserve">Librairie graphique : </w:t>
      </w:r>
      <w:r>
        <w:t xml:space="preserve">Chart.js 4.4.1 (CDN cdnjs.cloudflare.com)</w:t>
      </w:r>
    </w:p>
    <w:p>
      <w:pPr>
        <w:spacing w:after="120"/>
      </w:pPr>
      <w:r>
        <w:rPr>
          <w:b/>
          <w:bCs/>
        </w:rPr>
        <w:t xml:space="preserve">Hébergement : </w:t>
      </w:r>
      <w:r>
        <w:t xml:space="preserve">GitHub Pages (branche main)</w:t>
      </w:r>
    </w:p>
    <w:p>
      <w:pPr>
        <w:spacing w:after="120"/>
      </w:pPr>
      <w:r>
        <w:rPr>
          <w:b/>
          <w:bCs/>
        </w:rPr>
        <w:t xml:space="preserve">Source de données : </w:t>
      </w:r>
      <w:r>
        <w:t xml:space="preserve">Google Sheets gviz CSV API</w:t>
      </w:r>
    </w:p>
    <w:p>
      <w:pPr>
        <w:pStyle w:val="Heading2"/>
      </w:pPr>
      <w:r>
        <w:t xml:space="preserve">4.2 Architecture JavaScript</w:t>
      </w:r>
    </w:p>
    <w:p>
      <w:pPr>
        <w:spacing w:after="120"/>
      </w:pPr>
      <w:r>
        <w:t xml:space="preserve">Le code utilise un pattern Factory avec la fonction createSection(id, cat, isMain) qui retourne des instances de graphiques indépendantes. Chaque section possède son propre état (chart, hidden, startIdx, endIdx) et ses méthodes (init, rebuild, draw, populateWeeks, buildKPI, setCat).</w:t>
      </w:r>
    </w:p>
    <w:p>
      <w:pPr>
        <w:spacing w:after="120"/>
      </w:pPr>
      <w:r>
        <w:rPr>
          <w:b/>
          <w:bCs/>
        </w:rPr>
        <w:t xml:space="preserve">Composants clés :</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Élément</w:t>
            </w:r>
          </w:p>
        </w:tc>
        <w:tc>
          <w:tcPr>
            <w:tcW w:type="dxa" w:w="600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CATS</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['Polysilicon','Wafer','Cell','Module','Glass'] - liste ordonnée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MODULE_START_WEEK</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'W38-2024' - date de début des modules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KPI_RENAME</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{'Granular Silicon (RMB/kg)':'FBR Granular Silicon (RMB/kg)'}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parseCsvLine(line)</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Parser CSV state-machine gérant les champs quotés avec virgules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parseCSV(txt)</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Lit col A (cat), col B (name), col C (show), col D+ (valeurs)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createSection(id, cat, isMain)</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Factory : crée une section graphique autonome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mainSec</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Section principale interactive avec boutons de catégorie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catSections</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Objet contenant une section fixe par catégorie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displayName(n)</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Applique les renommages KPI_RENAME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getUnit(n)</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Extrait l'unité du nom (RMB/kg, RMB/pc, RMB/W, RMB/m²)</w:t>
            </w:r>
          </w:p>
        </w:tc>
      </w:tr>
    </w:tbl>
    <w:p>
      <w:pPr>
        <w:spacing w:after="120"/>
      </w:pPr>
    </w:p>
    <w:p>
      <w:pPr>
        <w:pStyle w:val="Heading2"/>
      </w:pPr>
      <w:r>
        <w:t xml:space="preserve">4.3 Structure du Dashboard</w:t>
      </w:r>
    </w:p>
    <w:p>
      <w:pPr>
        <w:spacing w:after="120"/>
      </w:pPr>
      <w:r>
        <w:t xml:space="preserve">Le dashboard se compose de deux zones :</w:t>
      </w:r>
    </w:p>
    <w:p>
      <w:pPr>
        <w:spacing w:after="120"/>
      </w:pPr>
      <w:r>
        <w:rPr>
          <w:b/>
          <w:bCs/>
        </w:rPr>
        <w:t xml:space="preserve">1. Graphique principal (main) : </w:t>
      </w:r>
      <w:r>
        <w:t xml:space="preserve">graphique interactif avec boutons de sélection de catégorie en haut. Permet de basculer entre Polysilicon, Wafer, Cell, Module et Glass.</w:t>
      </w:r>
    </w:p>
    <w:p>
      <w:pPr>
        <w:spacing w:after="120"/>
      </w:pPr>
      <w:r>
        <w:rPr>
          <w:b/>
          <w:bCs/>
        </w:rPr>
        <w:t xml:space="preserve">2. Graphiques par catégorie (x5) : </w:t>
      </w:r>
      <w:r>
        <w:t xml:space="preserve">un graphique fixe par catégorie, chacun avec ses propres blocs KPI et filtres de dates. Pas de bouton de bascule.</w:t>
      </w:r>
    </w:p>
    <w:p>
      <w:pPr>
        <w:pStyle w:val="Heading2"/>
      </w:pPr>
      <w:r>
        <w:t xml:space="preserve">4.4 Fonctionnalités</w:t>
      </w:r>
    </w:p>
    <w:p>
      <w:pPr>
        <w:spacing w:after="120"/>
      </w:pPr>
      <w:r>
        <w:rPr>
          <w:b/>
          <w:bCs/>
        </w:rPr>
        <w:t xml:space="preserve">Blocs KPI : </w:t>
      </w:r>
      <w:r>
        <w:t xml:space="preserve">au-dessus de chaque graphique, affichent le dernier prix, la variation hebdomadaire (dernière vs avant-dernière valeur non-null) et la variation sur la période filtrée.</w:t>
      </w:r>
    </w:p>
    <w:p>
      <w:pPr>
        <w:spacing w:after="120"/>
      </w:pPr>
      <w:r>
        <w:rPr>
          <w:b/>
          <w:bCs/>
        </w:rPr>
        <w:t xml:space="preserve">Filtres dates : </w:t>
      </w:r>
      <w:r>
        <w:t xml:space="preserve">sélecteurs de semaine début/fin pour chaque section.</w:t>
      </w:r>
    </w:p>
    <w:p>
      <w:pPr>
        <w:spacing w:after="120"/>
      </w:pPr>
      <w:r>
        <w:rPr>
          <w:b/>
          <w:bCs/>
        </w:rPr>
        <w:t xml:space="preserve">Légende interactive : </w:t>
      </w:r>
      <w:r>
        <w:t xml:space="preserve">clic sur un produit pour masquer/afficher sa courbe.</w:t>
      </w:r>
    </w:p>
    <w:p>
      <w:pPr>
        <w:spacing w:after="120"/>
      </w:pPr>
      <w:r>
        <w:rPr>
          <w:b/>
          <w:bCs/>
        </w:rPr>
        <w:t xml:space="preserve">Toggle FR/EN : </w:t>
      </w:r>
      <w:r>
        <w:t xml:space="preserve">bascule linguistique français/anglais via objet I18N et fonction t(key).</w:t>
      </w:r>
    </w:p>
    <w:p>
      <w:pPr>
        <w:pStyle w:val="Heading1"/>
      </w:pPr>
      <w:r>
        <w:t xml:space="preserve">5. Règles métier</w:t>
      </w:r>
    </w:p>
    <w:p>
      <w:pPr>
        <w:spacing w:after="120"/>
      </w:pPr>
      <w:r>
        <w:rPr>
          <w:b/>
          <w:bCs/>
        </w:rPr>
        <w:t xml:space="preserve">Filtrage : </w:t>
      </w:r>
      <w:r>
        <w:t xml:space="preserve">seules les lignes avec 'YES' en colonne C sont affichées.</w:t>
      </w:r>
    </w:p>
    <w:p>
      <w:pPr>
        <w:spacing w:after="120"/>
      </w:pPr>
      <w:r>
        <w:rPr>
          <w:b/>
          <w:bCs/>
        </w:rPr>
        <w:t xml:space="preserve">Modules : </w:t>
      </w:r>
      <w:r>
        <w:t xml:space="preserve">les graphiques Module démarrent automatiquement à W38-2024 via getDefaultStart().</w:t>
      </w:r>
    </w:p>
    <w:p>
      <w:pPr>
        <w:spacing w:after="120"/>
      </w:pPr>
      <w:r>
        <w:rPr>
          <w:b/>
          <w:bCs/>
        </w:rPr>
        <w:t xml:space="preserve">Pas de bouton 'Tout/All' : </w:t>
      </w:r>
      <w:r>
        <w:t xml:space="preserve">supprimé à la demande.</w:t>
      </w:r>
    </w:p>
    <w:p>
      <w:pPr>
        <w:spacing w:after="120"/>
      </w:pPr>
      <w:r>
        <w:rPr>
          <w:b/>
          <w:bCs/>
        </w:rPr>
        <w:t xml:space="preserve">Renommage FBR : </w:t>
      </w:r>
      <w:r>
        <w:t xml:space="preserve">'Granular Silicon' s'affiche comme 'FBR Granular Silicon'.</w:t>
      </w:r>
    </w:p>
    <w:p>
      <w:pPr>
        <w:spacing w:after="120"/>
      </w:pPr>
      <w:r>
        <w:rPr>
          <w:b/>
          <w:bCs/>
        </w:rPr>
        <w:t xml:space="preserve">Variation hebdo : </w:t>
      </w:r>
      <w:r>
        <w:t xml:space="preserve">compare la dernière valeur non-null avec la précédente. Si 0%, c'est 0%.</w:t>
      </w:r>
    </w:p>
    <w:p>
      <w:pPr>
        <w:pStyle w:val="Heading1"/>
      </w:pPr>
      <w:r>
        <w:t xml:space="preserve">6. Fichiers du repo GitHub</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Fichier</w:t>
            </w:r>
          </w:p>
        </w:tc>
        <w:tc>
          <w:tcPr>
            <w:tcW w:type="dxa" w:w="650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index.html</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Dashboard complet (HTML + CSS + JS)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favicon.png</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Favicon du site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logo.png</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Logo SynapSun affiché dans le header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README.md</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Documentation basique du repo</w:t>
            </w:r>
          </w:p>
        </w:tc>
      </w:tr>
    </w:tbl>
    <w:p>
      <w:pPr>
        <w:spacing w:after="120"/>
      </w:pPr>
    </w:p>
    <w:p>
      <w:pPr>
        <w:pStyle w:val="Heading1"/>
      </w:pPr>
      <w:r>
        <w:t xml:space="preserve">7. Problèmes résolus et décisions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906"/>
      </w:tblGrid>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Problème</w:t>
            </w:r>
          </w:p>
        </w:tc>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Cause</w:t>
            </w:r>
          </w:p>
        </w:tc>
        <w:tc>
          <w:tcPr>
            <w:tcW w:type="dxa" w:w="390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Solution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Courbes Polysilicon/Wafer invisibles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Noms de produits changés dans le sheet</w:t>
            </w:r>
          </w:p>
        </w:tc>
        <w:tc>
          <w:tcPr>
            <w:tcW w:type="dxa" w:w="3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Passage de détection par mot-clé → par colonne Category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Doublon KPI 'Reusable Chinese 9N'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includes() trop large</w:t>
            </w:r>
          </w:p>
        </w:tc>
        <w:tc>
          <w:tcPr>
            <w:tcW w:type="dxa" w:w="3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Recherche par clé exacte 'Chinese 9N (RMB/kg)'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CSV cassé sur virgules dans noms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split(',') naïf</w:t>
            </w:r>
          </w:p>
        </w:tc>
        <w:tc>
          <w:tcPr>
            <w:tcW w:type="dxa" w:w="3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Parser state-machine parseCsvLine()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Noms produits trop courts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Col B contient des abréviations (9, 182...)</w:t>
            </w:r>
          </w:p>
        </w:tc>
        <w:tc>
          <w:tcPr>
            <w:tcW w:type="dxa" w:w="3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Signalé à l'utilisateur pour correction</w:t>
            </w:r>
          </w:p>
        </w:tc>
      </w:tr>
    </w:tbl>
    <w:p>
      <w:pPr>
        <w:spacing w:after="120"/>
      </w:pPr>
    </w:p>
    <w:p>
      <w:pPr>
        <w:pStyle w:val="Heading1"/>
      </w:pPr>
      <w:r>
        <w:t xml:space="preserve">8. Points en suspens / Actions requises</w:t>
      </w:r>
    </w:p>
    <w:p>
      <w:pPr>
        <w:spacing w:after="120"/>
      </w:pPr>
      <w:r>
        <w:rPr>
          <w:b/>
          <w:bCs/>
        </w:rPr>
        <w:t xml:space="preserve">Noms produits (colonne B) : </w:t>
      </w:r>
      <w:r>
        <w:t xml:space="preserve">actuellement des abréviations courtes (9, 182, 210...). À remplir avec des noms descriptifs et uniques pour des libellés de graphiques lisibles.</w:t>
      </w:r>
    </w:p>
    <w:p>
      <w:pPr>
        <w:spacing w:after="120"/>
      </w:pPr>
      <w:r>
        <w:rPr>
          <w:b/>
          <w:bCs/>
        </w:rPr>
        <w:t xml:space="preserve">Tests post-upload : </w:t>
      </w:r>
      <w:r>
        <w:t xml:space="preserve">vérifier le rendu après upload du dernier index.html sur le repo GitHub.</w:t>
      </w:r>
    </w:p>
    <w:p>
      <w:pPr>
        <w:spacing w:after="120"/>
      </w:pPr>
      <w:r>
        <w:rPr>
          <w:b/>
          <w:bCs/>
        </w:rPr>
        <w:t xml:space="preserve">Ajustements éventuels : </w:t>
      </w:r>
      <w:r>
        <w:t xml:space="preserve">selon retours utilisateur après test.</w:t>
      </w:r>
    </w:p>
    <w:p>
      <w:pPr>
        <w:pStyle w:val="Heading1"/>
      </w:pPr>
      <w:r>
        <w:t xml:space="preserve">9. Notes pour la continuité</w:t>
      </w:r>
    </w:p>
    <w:p>
      <w:pPr>
        <w:spacing w:after="120"/>
      </w:pPr>
      <w:r>
        <w:t xml:space="preserve">Lors de la reprise du projet, les points suivants sont essentiels :</w:t>
      </w:r>
    </w:p>
    <w:p>
      <w:pPr>
        <w:spacing w:after="120"/>
      </w:pPr>
      <w:r>
        <w:rPr>
          <w:b/>
          <w:bCs/>
        </w:rPr>
        <w:t xml:space="preserve">gid=0 est stable : </w:t>
      </w:r>
      <w:r>
        <w:t xml:space="preserve">ne pas changer le paramètre gid même si l'onglet est renommé ou déplacé.</w:t>
      </w:r>
    </w:p>
    <w:p>
      <w:pPr>
        <w:spacing w:after="120"/>
      </w:pPr>
      <w:r>
        <w:rPr>
          <w:b/>
          <w:bCs/>
        </w:rPr>
        <w:t xml:space="preserve">Parser CSV robuste : </w:t>
      </w:r>
      <w:r>
        <w:t xml:space="preserve">le parser gère les virgules dans les champs quotés. Ne pas le remplacer par un split naïf.</w:t>
      </w:r>
    </w:p>
    <w:p>
      <w:pPr>
        <w:spacing w:after="120"/>
      </w:pPr>
      <w:r>
        <w:rPr>
          <w:b/>
          <w:bCs/>
        </w:rPr>
        <w:t xml:space="preserve">Factory pattern : </w:t>
      </w:r>
      <w:r>
        <w:t xml:space="preserve">chaque graphique est une instance indépendante via createSection(). Modifier un graphique n'affecte pas les autres.</w:t>
      </w:r>
    </w:p>
    <w:p>
      <w:pPr>
        <w:spacing w:after="120"/>
      </w:pPr>
      <w:r>
        <w:rPr>
          <w:b/>
          <w:bCs/>
        </w:rPr>
        <w:t xml:space="preserve">3 colonnes préfixe : </w:t>
      </w:r>
      <w:r>
        <w:t xml:space="preserve">le parsing attend toujours Category (A), Product (B), Show (C) avant les données (D+).</w:t>
      </w:r>
    </w:p>
    <w:p>
      <w:pPr>
        <w:spacing w:after="120"/>
      </w:pPr>
      <w:r>
        <w:rPr>
          <w:b/>
          <w:bCs/>
        </w:rPr>
        <w:t xml:space="preserve">Design light : </w:t>
      </w:r>
      <w:r>
        <w:t xml:space="preserve">background #f8f9fa, cartes blanches, style épuré.</w:t>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4"/>
      </w:pBdr>
      <w:tabs>
        <w:tab w:val="right" w:pos="9026"/>
      </w:tabs>
    </w:pPr>
    <w:r>
      <w:rPr>
        <w:b/>
        <w:bCs/>
        <w:color w:val="1F4E79"/>
        <w:sz w:val="16"/>
        <w:szCs w:val="16"/>
      </w:rPr>
      <w:t xml:space="preserve">Data-Barometer-Synapsun</w:t>
    </w:r>
    <w:r>
      <w:t xml:space="preserve">	</w:t>
    </w:r>
    <w:r>
      <w:rPr>
        <w:color w:val="999999"/>
        <w:sz w:val="16"/>
        <w:szCs w:val="16"/>
      </w:rPr>
      <w:t xml:space="preserve">Document de Contexte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2026-05-23T09:13:23.599Z</dcterms:created>
  <dcterms:modified xsi:type="dcterms:W3CDTF">2026-05-23T09:13:23.600Z</dcterms:modified>
</cp:coreProperties>
</file>

<file path=docProps/custom.xml><?xml version="1.0" encoding="utf-8"?>
<Properties xmlns="http://schemas.openxmlformats.org/officeDocument/2006/custom-properties" xmlns:vt="http://schemas.openxmlformats.org/officeDocument/2006/docPropsVTypes"/>
</file>