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48"/>
          <w:szCs w:val="48"/>
        </w:rPr>
        <w:t xml:space="preserve">Data-Barometer-Synapsun</w:t>
      </w:r>
    </w:p>
    <w:p>
      <w:pPr>
        <w:spacing w:after="200"/>
        <w:jc w:val="center"/>
      </w:pPr>
      <w:r>
        <w:rPr>
          <w:rFonts w:ascii="Arial" w:cs="Arial" w:eastAsia="Arial" w:hAnsi="Arial"/>
          <w:color w:val="666666"/>
          <w:sz w:val="32"/>
          <w:szCs w:val="32"/>
        </w:rPr>
        <w:t xml:space="preserve">Manuel Utilisateur &amp; Technique</w:t>
      </w:r>
    </w:p>
    <w:p>
      <w:pPr>
        <w:spacing w:after="600"/>
        <w:jc w:val="center"/>
      </w:pPr>
      <w:r>
        <w:rPr>
          <w:color w:val="999999"/>
          <w:sz w:val="22"/>
          <w:szCs w:val="22"/>
        </w:rPr>
        <w:t xml:space="preserve">Version 1.0 - Mai 2026</w:t>
      </w:r>
    </w:p>
    <w:p>
      <w:r>
        <w:br w:type="page"/>
      </w:r>
    </w:p>
    <w:p>
      <w:pPr>
        <w:spacing w:after="300" w:before="200"/>
        <w:jc w:val="center"/>
      </w:pPr>
      <w:r>
        <w:rPr>
          <w:b/>
          <w:bCs/>
          <w:color w:val="1F4E79"/>
          <w:sz w:val="30"/>
          <w:szCs w:val="30"/>
        </w:rPr>
        <w:t xml:space="preserve">PARTIE 1 : MANUEL UTILISATEUR</w:t>
      </w:r>
    </w:p>
    <w:p>
      <w:pPr>
        <w:pStyle w:val="Heading1"/>
      </w:pPr>
      <w:r>
        <w:t xml:space="preserve">1. Présentation</w:t>
      </w:r>
    </w:p>
    <w:p>
      <w:pPr>
        <w:spacing w:after="120"/>
      </w:pPr>
      <w:r>
        <w:t xml:space="preserve">Le dashboard Data-Barometer-Synapsun affiche en temps réel les prix de l'industrie photovoltaïque issus de l'indice TaiyangNews. Il est accessible à l'adresse :</w:t>
      </w:r>
    </w:p>
    <w:p>
      <w:pPr>
        <w:spacing w:after="200"/>
      </w:pPr>
      <w:hyperlink w:history="1" r:id="rId7k533xjrfireqqowyszjo">
        <w:r>
          <w:rPr>
            <w:color w:val="0563C1"/>
            <w:u w:val="single"/>
          </w:rPr>
          <w:t xml:space="preserve">https://it-dev-synapsun.github.io/graph-gsheet-tayang/</w:t>
        </w:r>
      </w:hyperlink>
    </w:p>
    <w:p>
      <w:pPr>
        <w:spacing w:after="120"/>
      </w:pPr>
      <w:r>
        <w:t xml:space="preserve">Les données sont lues directement depuis un Google Sheet partagé. Toute modification du sheet se répercute automatiquement sur le dashboard au prochain chargement de la page.</w:t>
      </w:r>
    </w:p>
    <w:p>
      <w:pPr>
        <w:pStyle w:val="Heading1"/>
      </w:pPr>
      <w:r>
        <w:t xml:space="preserve">2. Navigation dans le dashboard</w:t>
      </w:r>
    </w:p>
    <w:p>
      <w:pPr>
        <w:pStyle w:val="Heading2"/>
      </w:pPr>
      <w:r>
        <w:t xml:space="preserve">2.1 Graphique principal</w:t>
      </w:r>
    </w:p>
    <w:p>
      <w:pPr>
        <w:spacing w:after="120"/>
      </w:pPr>
      <w:r>
        <w:t xml:space="preserve">Le graphique principal se trouve en haut de la page. Il affiche les courbes de prix d'une catégorie sélectionnée. Cinq boutons permettent de basculer entre les catégories : Polysilicon, Wafer, Cell, Module et Glass.</w:t>
      </w:r>
    </w:p>
    <w:p>
      <w:pPr>
        <w:pStyle w:val="Heading2"/>
      </w:pPr>
      <w:r>
        <w:t xml:space="preserve">2.2 Blocs KPI</w:t>
      </w:r>
    </w:p>
    <w:p>
      <w:pPr>
        <w:spacing w:after="120"/>
      </w:pPr>
      <w:r>
        <w:t xml:space="preserve">Au-dessus de chaque graphique, des blocs KPI affichent pour certains produits clés : le dernier prix connu, la variation hebdomadaire (dernière semaine vs semaine précédente), et la variation sur la période affichée. Les variations sont colorées en vert (baisse) ou rouge (hausse).</w:t>
      </w:r>
    </w:p>
    <w:p>
      <w:pPr>
        <w:pStyle w:val="Heading2"/>
      </w:pPr>
      <w:r>
        <w:t xml:space="preserve">2.3 Filtres de dates</w:t>
      </w:r>
    </w:p>
    <w:p>
      <w:pPr>
        <w:spacing w:after="120"/>
      </w:pPr>
      <w:r>
        <w:t xml:space="preserve">Chaque section dispose de deux sélecteurs de semaines (début et fin) permettant de zoomer sur une période spécifique. Les KPI et le graphique se mettent à jour automatiquement.</w:t>
      </w:r>
    </w:p>
    <w:p>
      <w:pPr>
        <w:pStyle w:val="Heading2"/>
      </w:pPr>
      <w:r>
        <w:t xml:space="preserve">2.4 Légende interactive</w:t>
      </w:r>
    </w:p>
    <w:p>
      <w:pPr>
        <w:spacing w:after="120"/>
      </w:pPr>
      <w:r>
        <w:t xml:space="preserve">Sous chaque graphique, la légende liste tous les produits de la catégorie. Cliquer sur un produit dans la légende masque ou réaffiche sa courbe.</w:t>
      </w:r>
    </w:p>
    <w:p>
      <w:pPr>
        <w:pStyle w:val="Heading2"/>
      </w:pPr>
      <w:r>
        <w:t xml:space="preserve">2.5 Graphiques par catégorie</w:t>
      </w:r>
    </w:p>
    <w:p>
      <w:pPr>
        <w:spacing w:after="120"/>
      </w:pPr>
      <w:r>
        <w:t xml:space="preserve">Sous le graphique principal, cinq graphiques fixes (un par catégorie) affichent les mêmes données de manière dédiée. Chacun possède ses propres blocs KPI et filtres de dates mais ne permet pas de changer de catégorie.</w:t>
      </w:r>
    </w:p>
    <w:p>
      <w:pPr>
        <w:pStyle w:val="Heading2"/>
      </w:pPr>
      <w:r>
        <w:t xml:space="preserve">2.6 Bascule FR/EN</w:t>
      </w:r>
    </w:p>
    <w:p>
      <w:pPr>
        <w:spacing w:after="120"/>
      </w:pPr>
      <w:r>
        <w:t xml:space="preserve">Un toggle de langue permet de basculer l'interface entre français et anglais. Tous les libellés statiques de l'interface sont traduits.</w:t>
      </w:r>
    </w:p>
    <w:p>
      <w:pPr>
        <w:pStyle w:val="Heading1"/>
      </w:pPr>
      <w:r>
        <w:t xml:space="preserve">3. Gestion des données (Google Sheet)</w:t>
      </w:r>
    </w:p>
    <w:p>
      <w:pPr>
        <w:pStyle w:val="Heading2"/>
      </w:pPr>
      <w:r>
        <w:t xml:space="preserve">3.1 Ajouter un nouveau produit</w:t>
      </w:r>
    </w:p>
    <w:p>
      <w:pPr>
        <w:spacing w:after="120"/>
      </w:pPr>
      <w:r>
        <w:t xml:space="preserve">Pour ajouter un produit : insérer une nouvelle ligne dans l'onglet taiyangnews_scrapping. Remplir la colonne A avec la catégorie (Polysilicon, Wafer, Cell, Module ou Glass), la colonne B avec un nom descriptif et unique, la colonne C avec YES, et les colonnes D+ avec les prix hebdomadaires. Le dashboard affichera automatiquement le nouveau produit au prochain chargement.</w:t>
      </w:r>
    </w:p>
    <w:p>
      <w:pPr>
        <w:pStyle w:val="Heading2"/>
      </w:pPr>
      <w:r>
        <w:t xml:space="preserve">3.2 Masquer un produit</w:t>
      </w:r>
    </w:p>
    <w:p>
      <w:pPr>
        <w:spacing w:after="120"/>
      </w:pPr>
      <w:r>
        <w:t xml:space="preserve">Pour masquer un produit sans supprimer ses données, changer la valeur de la colonne C de YES à NO. Le produit ne sera plus affiché dans aucun graphique.</w:t>
      </w:r>
    </w:p>
    <w:p>
      <w:pPr>
        <w:pStyle w:val="Heading2"/>
      </w:pPr>
      <w:r>
        <w:t xml:space="preserve">3.3 Ajouter une nouvelle semaine de données</w:t>
      </w:r>
    </w:p>
    <w:p>
      <w:pPr>
        <w:spacing w:after="120"/>
      </w:pPr>
      <w:r>
        <w:t xml:space="preserve">Ajouter une nouvelle colonne à droite avec l'en-tête au format W{num}-{year} (ex: W22-2026). Remplir les prix pour chaque produit. Les cellules vides sont gérées (ignorées dans les calculs).</w:t>
      </w:r>
    </w:p>
    <w:p>
      <w:pPr>
        <w:pStyle w:val="Heading2"/>
      </w:pPr>
      <w:r>
        <w:t xml:space="preserve">3.4 Règles importantes</w:t>
      </w:r>
    </w:p>
    <w:p>
      <w:pPr>
        <w:spacing w:after="120"/>
      </w:pPr>
      <w:r>
        <w:rPr>
          <w:b/>
          <w:bCs/>
        </w:rPr>
        <w:t xml:space="preserve">Ne pas modifier la structure des 3 premières colonnes</w:t>
      </w:r>
      <w:r>
        <w:t xml:space="preserve"> (A: Category, B: Product name, C: Show). Le parser du dashboard dépend de cette structure.</w:t>
      </w:r>
    </w:p>
    <w:p>
      <w:pPr>
        <w:spacing w:after="120"/>
      </w:pPr>
      <w:r>
        <w:rPr>
          <w:b/>
          <w:bCs/>
        </w:rPr>
        <w:t xml:space="preserve">Ne pas changer le gid de l'onglet : </w:t>
      </w:r>
      <w:r>
        <w:t xml:space="preserve">le dashboard utilise gid=0 pour accéder aux données. Même si l'onglet est renommé ou déplacé, gid=0 reste valide tant que c'est le premier onglet créé.</w:t>
      </w:r>
    </w:p>
    <w:p>
      <w:pPr>
        <w:spacing w:after="120"/>
      </w:pPr>
      <w:r>
        <w:rPr>
          <w:b/>
          <w:bCs/>
        </w:rPr>
        <w:t xml:space="preserve">Noms de produits (colonne B) : </w:t>
      </w:r>
      <w:r>
        <w:t xml:space="preserve">utiliser des noms descriptifs et uniques. Éviter les abréviations courtes qui rendent les légendes illisibles.</w:t>
      </w:r>
    </w:p>
    <w:p>
      <w:r>
        <w:br w:type="page"/>
      </w:r>
    </w:p>
    <w:p>
      <w:pPr>
        <w:spacing w:after="300" w:before="200"/>
        <w:jc w:val="center"/>
      </w:pPr>
      <w:r>
        <w:rPr>
          <w:b/>
          <w:bCs/>
          <w:color w:val="1F4E79"/>
          <w:sz w:val="30"/>
          <w:szCs w:val="30"/>
        </w:rPr>
        <w:t xml:space="preserve">PARTIE 2 : MANUEL TECHNIQUE</w:t>
      </w:r>
    </w:p>
    <w:p>
      <w:pPr>
        <w:pStyle w:val="Heading1"/>
      </w:pPr>
      <w:r>
        <w:t xml:space="preserve">4. Architecture générale</w:t>
      </w:r>
    </w:p>
    <w:p>
      <w:pPr>
        <w:pStyle w:val="Heading2"/>
      </w:pPr>
      <w:r>
        <w:t xml:space="preserve">4.1 Stack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Composant</w:t>
            </w:r>
          </w:p>
        </w:tc>
        <w:tc>
          <w:tcPr>
            <w:tcW w:type="dxa" w:w="65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Technologie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Frontend</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HTML/CSS/JS (fichier unique index.html)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Graphiques</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Chart.js 4.4.1 (CDN cdnjs.cloudflare.com)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Données</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Google Sheets gviz CSV API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Hébergement</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GitHub Pages (branche main, repo it-dev-synapsun/graph-gsheet-tayang)</w:t>
            </w:r>
          </w:p>
        </w:tc>
      </w:tr>
    </w:tbl>
    <w:p>
      <w:pPr>
        <w:spacing w:after="120"/>
      </w:pPr>
    </w:p>
    <w:p>
      <w:pPr>
        <w:pStyle w:val="Heading2"/>
      </w:pPr>
      <w:r>
        <w:t xml:space="preserve">4.2 Flux de données</w:t>
      </w:r>
    </w:p>
    <w:p>
      <w:pPr>
        <w:spacing w:after="120"/>
      </w:pPr>
      <w:r>
        <w:t xml:space="preserve">Au chargement de la page, le dashboard effectue un fetch vers l'API Google Sheets CSV. La réponse CSV est parsée par parseCsvLine() (parser state-machine) puis par parseCSV() qui extrait la catégorie, le nom du produit, le filtre YES/NO et les valeurs numériques. Les données sont stockées dans un objet global d = { weeks: [...], prods: [...] }.</w:t>
      </w:r>
    </w:p>
    <w:p>
      <w:pPr>
        <w:pStyle w:val="Heading2"/>
      </w:pPr>
      <w:r>
        <w:t xml:space="preserve">4.3 Pattern Factory : createSection()</w:t>
      </w:r>
    </w:p>
    <w:p>
      <w:pPr>
        <w:spacing w:after="120"/>
      </w:pPr>
      <w:r>
        <w:t xml:space="preserve">Chaque graphique est une instance créée par la fonction createSection(id, cat, isMain). Cette factory retourne un objet avec un état isolé (chart, hidden, startIdx, endIdx, cat, curCat) et des méthodes (init, rebuild, draw, populateWeeks, buildKPI, setCat). Cela permet d'avoir N graphiques indépendants sans conflit d'état.</w:t>
      </w:r>
    </w:p>
    <w:p>
      <w:pPr>
        <w:spacing w:after="120"/>
      </w:pPr>
      <w:r>
        <w:rPr>
          <w:b/>
          <w:bCs/>
        </w:rPr>
        <w:t xml:space="preserve">mainSec</w:t>
      </w:r>
      <w:r>
        <w:t xml:space="preserve"> : instance principale avec boutons de catégorie (isMain=true)</w:t>
      </w:r>
    </w:p>
    <w:p>
      <w:pPr>
        <w:spacing w:after="120"/>
      </w:pPr>
      <w:r>
        <w:rPr>
          <w:b/>
          <w:bCs/>
        </w:rPr>
        <w:t xml:space="preserve">catSections</w:t>
      </w:r>
      <w:r>
        <w:t xml:space="preserve"> : objet clé par catégorie, chaque valeur est une instance fixe (isMain=false)</w:t>
      </w:r>
    </w:p>
    <w:p>
      <w:pPr>
        <w:pStyle w:val="Heading1"/>
      </w:pPr>
      <w:r>
        <w:t xml:space="preserve">5. Parsing CSV</w:t>
      </w:r>
    </w:p>
    <w:p>
      <w:pPr>
        <w:pStyle w:val="Heading2"/>
      </w:pPr>
      <w:r>
        <w:t xml:space="preserve">5.1 parseCsvLine(line)</w:t>
      </w:r>
    </w:p>
    <w:p>
      <w:pPr>
        <w:spacing w:after="120"/>
      </w:pPr>
      <w:r>
        <w:t xml:space="preserve">Parser state-machine qui gère correctement les champs quotés contenant des virgules. Indispensable car certains noms de produits contiennent des virgules (ex: "p-type, 182mm, 150µm"). Ne pas remplacer par un simple split(',').</w:t>
      </w:r>
    </w:p>
    <w:p>
      <w:pPr>
        <w:pStyle w:val="Heading2"/>
      </w:pPr>
      <w:r>
        <w:t xml:space="preserve">5.2 parseCSV(txt)</w:t>
      </w:r>
    </w:p>
    <w:p>
      <w:pPr>
        <w:spacing w:after="120"/>
      </w:pPr>
      <w:r>
        <w:t xml:space="preserve">Parcourt toutes les lignes du CSV. La première ligne est l'en-tête (semaines à partir de la colonne D). Pour chaque ligne suivante : colonne A = catégorie, colonne B = nom du produit, colonne C = filtre. Si C !== 'YES', la ligne est ignorée. Sinon, un objet {cat, n, v} est créé avec les valeurs numériques.</w:t>
      </w:r>
    </w:p>
    <w:p>
      <w:pPr>
        <w:pStyle w:val="Heading1"/>
      </w:pPr>
      <w:r>
        <w:t xml:space="preserve">6. Configuration et constantes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80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Constante</w:t>
            </w:r>
          </w:p>
        </w:tc>
        <w:tc>
          <w:tcPr>
            <w:tcW w:type="dxa" w:w="3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Valeur</w:t>
            </w:r>
          </w:p>
        </w:tc>
        <w:tc>
          <w:tcPr>
            <w:tcW w:type="dxa" w:w="38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['Polysilicon','Wafer','Cell','Module','Glass']</w:t>
            </w:r>
          </w:p>
        </w:tc>
        <w:tc>
          <w:tcPr>
            <w:tcW w:type="dxa" w:w="3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Ordre d'affichage des catégories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MODULE_START_WEEK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'W38-2024'</w:t>
            </w:r>
          </w:p>
        </w:tc>
        <w:tc>
          <w:tcPr>
            <w:tcW w:type="dxa" w:w="3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Semaine de départ pour les graphiques Module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KPI_RENAME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{'Granular Silicon...': 'FBR Granular...'}</w:t>
            </w:r>
          </w:p>
        </w:tc>
        <w:tc>
          <w:tcPr>
            <w:tcW w:type="dxa" w:w="3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Renommage d'affichage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SHEET_ID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1uZeF8NfStd_j7_...</w:t>
            </w:r>
          </w:p>
        </w:tc>
        <w:tc>
          <w:tcPr>
            <w:tcW w:type="dxa" w:w="38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du Google Sheet</w:t>
            </w:r>
          </w:p>
        </w:tc>
      </w:tr>
    </w:tbl>
    <w:p>
      <w:pPr>
        <w:spacing w:after="120"/>
      </w:pPr>
    </w:p>
    <w:p>
      <w:pPr>
        <w:pStyle w:val="Heading1"/>
      </w:pPr>
      <w:r>
        <w:t xml:space="preserve">7. Fonctions utilitaires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Fonction</w:t>
            </w:r>
          </w:p>
        </w:tc>
        <w:tc>
          <w:tcPr>
            <w:tcW w:type="dxa" w:w="65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displayName(n)</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Applique KPI_RENAME pour l'affichage. Ex: Granular Silicon → FBR Granular Silicon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getUnit(n)</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Extrait l'unité du nom de produit (RMB/kg, RMB/pc, RMB/W, RMB/m²)</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weekToDate(w)</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Convertit W{num}-{year} en objet Date JavaScript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getDefaultStart(cat)</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Retourne l'index de départ par défaut (W38-2024 pour Module, 0 sinon)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t(key)</w:t>
            </w:r>
          </w:p>
        </w:tc>
        <w:tc>
          <w:tcPr>
            <w:tcW w:type="dxa" w:w="6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Retourne la traduction FR ou EN selon la langue active</w:t>
            </w:r>
          </w:p>
        </w:tc>
      </w:tr>
    </w:tbl>
    <w:p>
      <w:pPr>
        <w:spacing w:after="120"/>
      </w:pPr>
    </w:p>
    <w:p>
      <w:pPr>
        <w:pStyle w:val="Heading1"/>
      </w:pPr>
      <w:r>
        <w:t xml:space="preserve">8. Calcul des KPI</w:t>
      </w:r>
    </w:p>
    <w:p>
      <w:pPr>
        <w:pStyle w:val="Heading2"/>
      </w:pPr>
      <w:r>
        <w:t xml:space="preserve">8.1 Variation hebdomadaire</w:t>
      </w:r>
    </w:p>
    <w:p>
      <w:pPr>
        <w:spacing w:after="120"/>
      </w:pPr>
      <w:r>
        <w:t xml:space="preserve">Compare la dernière valeur non-null avec l'avant-dernière valeur non-null du produit sur la période filtrée. Si la variation est de 0%, elle est affichée comme 0% (pas de suppression).</w:t>
      </w:r>
    </w:p>
    <w:p>
      <w:pPr>
        <w:pStyle w:val="Heading2"/>
      </w:pPr>
      <w:r>
        <w:t xml:space="preserve">8.2 Variation période</w:t>
      </w:r>
    </w:p>
    <w:p>
      <w:pPr>
        <w:spacing w:after="120"/>
      </w:pPr>
      <w:r>
        <w:t xml:space="preserve">Compare la dernière valeur non-null avec la première valeur non-null sur la période filtrée par les sélecteurs de dates.</w:t>
      </w:r>
    </w:p>
    <w:p>
      <w:pPr>
        <w:pStyle w:val="Heading1"/>
      </w:pPr>
      <w:r>
        <w:t xml:space="preserve">9. Internationalisation (i18n)</w:t>
      </w:r>
    </w:p>
    <w:p>
      <w:pPr>
        <w:spacing w:after="120"/>
      </w:pPr>
      <w:r>
        <w:t xml:space="preserve">L'objet I18N contient les traductions clé-valeur pour le français et l'anglais. La fonction t(key) retourne la traduction selon la langue active (stockée dans une variable globale). Le toggle FR/EN relance le rendu de toutes les sections.</w:t>
      </w:r>
    </w:p>
    <w:p>
      <w:pPr>
        <w:pStyle w:val="Heading1"/>
      </w:pPr>
      <w:r>
        <w:t xml:space="preserve">10. Déploiement</w:t>
      </w:r>
    </w:p>
    <w:p>
      <w:pPr>
        <w:pStyle w:val="Heading2"/>
      </w:pPr>
      <w:r>
        <w:t xml:space="preserve">10.1 Mise à jour du dashboard</w:t>
      </w:r>
    </w:p>
    <w:p>
      <w:pPr>
        <w:spacing w:after="120"/>
      </w:pPr>
      <w:r>
        <w:t xml:space="preserve">Le déploiement se fait en remplaçant le fichier index.html dans le repo GitHub (branche main). GitHub Pages publie automatiquement les changements.</w:t>
      </w:r>
    </w:p>
    <w:p>
      <w:pPr>
        <w:pStyle w:val="Heading2"/>
      </w:pPr>
      <w:r>
        <w:t xml:space="preserve">10.2 Procédure</w:t>
      </w:r>
    </w:p>
    <w:p>
      <w:pPr>
        <w:spacing w:after="120"/>
      </w:pPr>
      <w:r>
        <w:rPr>
          <w:b/>
          <w:bCs/>
        </w:rPr>
        <w:t xml:space="preserve">1.</w:t>
      </w:r>
      <w:r>
        <w:t xml:space="preserve"> Modifier le fichier index.html localement ou via l'interface GitHub</w:t>
      </w:r>
    </w:p>
    <w:p>
      <w:pPr>
        <w:spacing w:after="120"/>
      </w:pPr>
      <w:r>
        <w:rPr>
          <w:b/>
          <w:bCs/>
        </w:rPr>
        <w:t xml:space="preserve">2.</w:t>
      </w:r>
      <w:r>
        <w:t xml:space="preserve"> Commit et push sur la branche main</w:t>
      </w:r>
    </w:p>
    <w:p>
      <w:pPr>
        <w:spacing w:after="120"/>
      </w:pPr>
      <w:r>
        <w:rPr>
          <w:b/>
          <w:bCs/>
        </w:rPr>
        <w:t xml:space="preserve">3.</w:t>
      </w:r>
      <w:r>
        <w:t xml:space="preserve"> Attendre 1-2 minutes la propagation GitHub Pages</w:t>
      </w:r>
    </w:p>
    <w:p>
      <w:pPr>
        <w:spacing w:after="120"/>
      </w:pPr>
      <w:r>
        <w:rPr>
          <w:b/>
          <w:bCs/>
        </w:rPr>
        <w:t xml:space="preserve">4.</w:t>
      </w:r>
      <w:r>
        <w:t xml:space="preserve"> Vérifier le rendu sur https://it-dev-synapsun.github.io/graph-gsheet-tayang/</w:t>
      </w:r>
    </w:p>
    <w:p>
      <w:pPr>
        <w:pStyle w:val="Heading1"/>
      </w:pPr>
      <w:r>
        <w:t xml:space="preserve">11. Dépannage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20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Symptôme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Cause probable</w:t>
            </w:r>
          </w:p>
        </w:tc>
        <w:tc>
          <w:tcPr>
            <w:tcW w:type="dxa" w:w="4206"/>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20"/>
                <w:szCs w:val="20"/>
              </w:rPr>
              <w:t xml:space="preserve">Solution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Aucune donnée affichée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Google Sheet non accessible ou structure modifiée</w:t>
            </w:r>
          </w:p>
        </w:tc>
        <w:tc>
          <w:tcPr>
            <w:tcW w:type="dxa" w:w="4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Vérifier que le sheet est partagé en lecture publique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Catégorie vide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Aucun produit YES pour cette catégorie</w:t>
            </w:r>
          </w:p>
        </w:tc>
        <w:tc>
          <w:tcPr>
            <w:tcW w:type="dxa" w:w="4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Vérifier la colonne C du sheet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Courbes manquantes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Nom de produit modifié dans le sheet</w:t>
            </w:r>
          </w:p>
        </w:tc>
        <w:tc>
          <w:tcPr>
            <w:tcW w:type="dxa" w:w="4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Vérifier col B et le mapping KPI_RENAME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Libellés illisibles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Noms de produits trop courts en col B</w:t>
            </w:r>
          </w:p>
        </w:tc>
        <w:tc>
          <w:tcPr>
            <w:tcW w:type="dxa" w:w="4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Remplir des noms descriptifs dans le sheet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Module démarre trop tôt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MODULE_START_WEEK incorrect</w:t>
            </w:r>
          </w:p>
        </w:tc>
        <w:tc>
          <w:tcPr>
            <w:tcW w:type="dxa" w:w="4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Vérifier la constante dans le code JS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Erreur CSV parsing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Virgules dans les noms non quotés</w:t>
            </w:r>
          </w:p>
        </w:tc>
        <w:tc>
          <w:tcPr>
            <w:tcW w:type="dxa" w:w="4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S'assurer que le CSV Google est bien formaté</w:t>
            </w:r>
          </w:p>
        </w:tc>
      </w:tr>
    </w:tbl>
    <w:p>
      <w:pPr>
        <w:spacing w:after="120"/>
      </w:pPr>
    </w:p>
    <w:p>
      <w:pPr>
        <w:pStyle w:val="Heading1"/>
      </w:pPr>
      <w:r>
        <w:t xml:space="preserve">12. Évolutions possibles</w:t>
      </w:r>
    </w:p>
    <w:p>
      <w:pPr>
        <w:spacing w:after="120"/>
      </w:pPr>
      <w:r>
        <w:rPr>
          <w:b/>
          <w:bCs/>
        </w:rPr>
        <w:t xml:space="preserve">Export données : </w:t>
      </w:r>
      <w:r>
        <w:t xml:space="preserve">ajout d'un bouton d'export CSV/Excel des données filtrées.</w:t>
      </w:r>
    </w:p>
    <w:p>
      <w:pPr>
        <w:spacing w:after="120"/>
      </w:pPr>
      <w:r>
        <w:rPr>
          <w:b/>
          <w:bCs/>
        </w:rPr>
        <w:t xml:space="preserve">Thème sombre : </w:t>
      </w:r>
      <w:r>
        <w:t xml:space="preserve">basculement dark mode.</w:t>
      </w:r>
    </w:p>
    <w:p>
      <w:pPr>
        <w:spacing w:after="120"/>
      </w:pPr>
      <w:r>
        <w:rPr>
          <w:b/>
          <w:bCs/>
        </w:rPr>
        <w:t xml:space="preserve">Cache local : </w:t>
      </w:r>
      <w:r>
        <w:t xml:space="preserve">mise en cache des données pour réduire les appels API.</w:t>
      </w:r>
    </w:p>
    <w:p>
      <w:pPr>
        <w:spacing w:after="120"/>
      </w:pPr>
      <w:r>
        <w:rPr>
          <w:b/>
          <w:bCs/>
        </w:rPr>
        <w:t xml:space="preserve">Alertes prix : </w:t>
      </w:r>
      <w:r>
        <w:t xml:space="preserve">notifications visuelles quand un prix dépasse un seuil.</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tabs>
        <w:tab w:val="right" w:pos="9026"/>
      </w:tabs>
    </w:pPr>
    <w:r>
      <w:rPr>
        <w:b/>
        <w:bCs/>
        <w:color w:val="1F4E79"/>
        <w:sz w:val="16"/>
        <w:szCs w:val="16"/>
      </w:rPr>
      <w:t xml:space="preserve">Data-Barometer-Synapsun</w:t>
    </w:r>
    <w:r>
      <w:t xml:space="preserve">	</w:t>
    </w:r>
    <w:r>
      <w:rPr>
        <w:color w:val="999999"/>
        <w:sz w:val="16"/>
        <w:szCs w:val="16"/>
      </w:rPr>
      <w:t xml:space="preserve">Manuel Utilisateur &amp;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k533xjrfireqqowyszjo" Type="http://schemas.openxmlformats.org/officeDocument/2006/relationships/hyperlink" Target="https://it-dev-synapsun.github.io/graph-gsheet-tayan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2026-05-23T09:13:23.615Z</dcterms:created>
  <dcterms:modified xsi:type="dcterms:W3CDTF">2026-05-23T09:13:23.615Z</dcterms:modified>
</cp:coreProperties>
</file>

<file path=docProps/custom.xml><?xml version="1.0" encoding="utf-8"?>
<Properties xmlns="http://schemas.openxmlformats.org/officeDocument/2006/custom-properties" xmlns:vt="http://schemas.openxmlformats.org/officeDocument/2006/docPropsVTypes"/>
</file>