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F97316"/>
          <w:spacing w:val="300"/>
          <w:sz w:val="20"/>
          <w:szCs w:val="20"/>
        </w:rPr>
        <w:t xml:space="preserve">SYNAPSUN</w:t>
      </w:r>
    </w:p>
    <w:p>
      <w:pPr>
        <w:spacing w:after="80" w:before="100"/>
        <w:jc w:val="center"/>
      </w:pPr>
      <w:r>
        <w:rPr>
          <w:rFonts w:ascii="Arial" w:cs="Arial" w:eastAsia="Arial" w:hAnsi="Arial"/>
          <w:b/>
          <w:bCs/>
          <w:color w:val="0D1F3C"/>
          <w:sz w:val="52"/>
          <w:szCs w:val="52"/>
        </w:rPr>
        <w:t xml:space="preserve">Baromètre des prix modules photovoltaïques</w:t>
      </w:r>
    </w:p>
    <w:p>
      <w:pPr>
        <w:spacing w:after="600"/>
        <w:jc w:val="center"/>
      </w:pPr>
      <w:r>
        <w:rPr>
          <w:rFonts w:ascii="Arial" w:cs="Arial" w:eastAsia="Arial" w:hAnsi="Arial"/>
          <w:color w:val="4A5468"/>
          <w:sz w:val="32"/>
          <w:szCs w:val="32"/>
        </w:rPr>
        <w:t xml:space="preserve">Documentation technique &amp; utilisateur</w:t>
      </w:r>
    </w:p>
    <w:p>
      <w:pPr>
        <w:pBdr>
          <w:top w:val="single" w:color="F97316" w:sz="6"/>
        </w:pBdr>
        <w:spacing w:after="100" w:before="200"/>
        <w:jc w:val="center"/>
      </w:pPr>
      <w:r>
        <w:rPr>
          <w:rFonts w:ascii="Arial" w:cs="Arial" w:eastAsia="Arial" w:hAnsi="Arial"/>
          <w:i/>
          <w:iCs/>
          <w:color w:val="4A5468"/>
          <w:sz w:val="20"/>
          <w:szCs w:val="20"/>
        </w:rPr>
        <w:t xml:space="preserve">Version 1.0  —  Mai 2026</w:t>
      </w:r>
    </w:p>
    <w:p>
      <w:pPr>
        <w:jc w:val="center"/>
      </w:pPr>
      <w:r>
        <w:rPr>
          <w:rFonts w:ascii="Arial" w:cs="Arial" w:eastAsia="Arial" w:hAnsi="Arial"/>
          <w:color w:val="AAAAAA"/>
          <w:sz w:val="18"/>
          <w:szCs w:val="18"/>
        </w:rPr>
        <w:t xml:space="preserve">Confidentiel — Usage interne Synapsun</w:t>
      </w:r>
    </w:p>
    <w:p>
      <w:pPr>
        <w:sectPr>
          <w:pgSz w:w="11906" w:h="16838" w:orient="portrait"/>
          <w:pgMar w:top="1080" w:right="1080" w:bottom="1080" w:left="1080" w:header="708" w:footer="708" w:gutter="0"/>
          <w:pgNumType/>
          <w:docGrid w:linePitch="360"/>
        </w:sectPr>
      </w:pPr>
    </w:p>
    <w:p>
      <w:pPr>
        <w:pStyle w:val="Heading1"/>
        <w:spacing w:after="160" w:before="400"/>
      </w:pPr>
      <w:r>
        <w:rPr>
          <w:rFonts w:ascii="Arial" w:cs="Arial" w:eastAsia="Arial" w:hAnsi="Arial"/>
          <w:b/>
          <w:bCs/>
          <w:color w:val="0D1F3C"/>
          <w:sz w:val="36"/>
          <w:szCs w:val="36"/>
        </w:rPr>
        <w:t xml:space="preserve">Documentation Technique</w:t>
      </w:r>
    </w:p>
    <w:p>
      <w:pPr>
        <w:pStyle w:val="Heading2"/>
        <w:pBdr>
          <w:bottom w:val="single" w:color="F97316" w:sz="4" w:space="4"/>
        </w:pBdr>
        <w:spacing w:after="120" w:before="320"/>
      </w:pPr>
      <w:r>
        <w:rPr>
          <w:rFonts w:ascii="Arial" w:cs="Arial" w:eastAsia="Arial" w:hAnsi="Arial"/>
          <w:b/>
          <w:bCs/>
          <w:color w:val="0D1F3C"/>
          <w:sz w:val="28"/>
          <w:szCs w:val="28"/>
        </w:rPr>
        <w:t xml:space="preserve">1. Vue d'ensemble</w:t>
      </w:r>
    </w:p>
    <w:p>
      <w:pPr>
        <w:spacing w:after="120"/>
      </w:pPr>
      <w:r>
        <w:rPr>
          <w:rFonts w:ascii="Arial" w:cs="Arial" w:eastAsia="Arial" w:hAnsi="Arial"/>
          <w:color w:val="4A5468"/>
          <w:sz w:val="20"/>
          <w:szCs w:val="20"/>
        </w:rPr>
        <w:t xml:space="preserve">Le Baromètre Synapsun est une page HTML monopage sans back-end dédié. Toutes les données sont lues en direct depuis des sources externes au moment de la consultation. Il n'y a ni base de données, ni serveur applicatif, ni processus de build — tout tient dans un seul fichier HTML.</w:t>
      </w:r>
    </w:p>
    <w:p>
      <w:pPr>
        <w:spacing w:after="60"/>
      </w:pPr>
      <w:r>
        <w:t xml:space="preserve"/>
      </w:r>
    </w:p>
    <w:p>
      <w:pPr>
        <w:pStyle w:val="Heading3"/>
        <w:spacing w:after="80" w:before="240"/>
      </w:pPr>
      <w:r>
        <w:rPr>
          <w:rFonts w:ascii="Arial" w:cs="Arial" w:eastAsia="Arial" w:hAnsi="Arial"/>
          <w:b/>
          <w:bCs/>
          <w:color w:val="0D1F3C"/>
          <w:sz w:val="24"/>
          <w:szCs w:val="24"/>
        </w:rPr>
        <w:t xml:space="preserve">1.1 Architecture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Composant</w:t>
            </w:r>
          </w:p>
        </w:tc>
        <w:tc>
          <w:tcPr>
            <w:tcW w:type="dxa" w:w="26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Technologie</w:t>
            </w:r>
          </w:p>
        </w:tc>
        <w:tc>
          <w:tcPr>
            <w:tcW w:type="dxa" w:w="45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Page HTML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HTML5 / CSS3 / JS vanilla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Conteneur unique — tout le code est dans un seul fichier</w:t>
            </w:r>
          </w:p>
        </w:tc>
      </w:tr>
      <w:tr>
        <w:tc>
          <w:tcPr>
            <w:tcW w:type="dxa" w:w="2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Graphiques prix PV</w:t>
            </w:r>
          </w:p>
        </w:tc>
        <w:tc>
          <w:tcPr>
            <w:tcW w:type="dxa" w:w="2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Iframe GitHub Pages</w:t>
            </w:r>
          </w:p>
        </w:tc>
        <w:tc>
          <w:tcPr>
            <w:tcW w:type="dxa" w:w="45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Données Taiyang News, hébergées sur it-dev-synapsun.github.io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Graphiques Zoho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Iframe Zoho Analytics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Prix modules FOB, fret maritime, prix DDP Europe</w:t>
            </w:r>
          </w:p>
        </w:tc>
      </w:tr>
      <w:tr>
        <w:tc>
          <w:tcPr>
            <w:tcW w:type="dxa" w:w="2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Taux de change live</w:t>
            </w:r>
          </w:p>
        </w:tc>
        <w:tc>
          <w:tcPr>
            <w:tcW w:type="dxa" w:w="2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API open.er-api.com</w:t>
            </w:r>
          </w:p>
        </w:tc>
        <w:tc>
          <w:tcPr>
            <w:tcW w:type="dxa" w:w="45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Taux EUR/USD, EUR/CNY, USD/CNY (gratuit, sans clé)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Historique FX 12 mois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API BCE (ecb.europa.eu)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Séries historiques EUR/USD et EUR/CNY</w:t>
            </w:r>
          </w:p>
        </w:tc>
      </w:tr>
      <w:tr>
        <w:tc>
          <w:tcPr>
            <w:tcW w:type="dxa" w:w="2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Graphique FX</w:t>
            </w:r>
          </w:p>
        </w:tc>
        <w:tc>
          <w:tcPr>
            <w:tcW w:type="dxa" w:w="2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Chart.js 4.4.0 (CDN jsDelivr)</w:t>
            </w:r>
          </w:p>
        </w:tc>
        <w:tc>
          <w:tcPr>
            <w:tcW w:type="dxa" w:w="45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Rendu du graphique taux de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Analyses textuelles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Google Sheets CSV export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Onglet Analysis_Barometer du Sheet Taiyang</w:t>
            </w:r>
          </w:p>
        </w:tc>
      </w:tr>
      <w:tr>
        <w:tc>
          <w:tcPr>
            <w:tcW w:type="dxa" w:w="2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Polices</w:t>
            </w:r>
          </w:p>
        </w:tc>
        <w:tc>
          <w:tcPr>
            <w:tcW w:type="dxa" w:w="2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Google Fonts CDN</w:t>
            </w:r>
          </w:p>
        </w:tc>
        <w:tc>
          <w:tcPr>
            <w:tcW w:type="dxa" w:w="45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Roboto Condensed (300–700)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SEO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JSON-LD Schema.org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WebPage + Dataset + BreadcrumbList</w:t>
            </w:r>
          </w:p>
        </w:tc>
      </w:tr>
      <w:tr>
        <w:tc>
          <w:tcPr>
            <w:tcW w:type="dxa" w:w="2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Intégration site</w:t>
            </w:r>
          </w:p>
        </w:tc>
        <w:tc>
          <w:tcPr>
            <w:tcW w:type="dxa" w:w="2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Symfony / Twig</w:t>
            </w:r>
          </w:p>
        </w:tc>
        <w:tc>
          <w:tcPr>
            <w:tcW w:type="dxa" w:w="45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Template intégré dans synapsun.com</w:t>
            </w:r>
          </w:p>
        </w:tc>
      </w:tr>
    </w:tbl>
    <w:p>
      <w:pPr>
        <w:spacing w:after="60"/>
      </w:pPr>
      <w:r>
        <w:t xml:space="preserve"/>
      </w:r>
    </w:p>
    <w:p>
      <w:pPr>
        <w:pStyle w:val="Heading3"/>
        <w:spacing w:after="80" w:before="240"/>
      </w:pPr>
      <w:r>
        <w:rPr>
          <w:rFonts w:ascii="Arial" w:cs="Arial" w:eastAsia="Arial" w:hAnsi="Arial"/>
          <w:b/>
          <w:bCs/>
          <w:color w:val="0D1F3C"/>
          <w:sz w:val="24"/>
          <w:szCs w:val="24"/>
        </w:rPr>
        <w:t xml:space="preserve">1.2 Structure interne du fichier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Zone HTML</w:t>
            </w:r>
          </w:p>
        </w:tc>
        <w:tc>
          <w:tcPr>
            <w:tcW w:type="dxa" w:w="69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Contenu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&lt;head&gt;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SEO (meta, OG, Twitter Card, JSON-LD), hreflang, Google Fonts, Chart.js CDN</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&lt;style&gt;</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Toute la CSS : variables CSS, layout, composants, responsive, animations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&lt;header.hero&gt;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Bandeau marine : titre h1, sous-titre, date MAJ, sélecteur langue, bouton contact</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&lt;nav.toc&gt;</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Navigation sticky 8 entrées avec active state automatique (IntersectionObserver)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&lt;main&gt; sections 1-8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Polysilicium, Wafers/cells, Cost breakdown, FOB, Fret, FX, DDP, Market analysis</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&lt;section CTA&gt;</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Bloc "Prendre rendez-vous" — lien vers rdv.synapsun.com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&lt;footer&gt;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Disclaimer + lien contact synapsun.com/fr/contact</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&lt;script&gt;</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Toute la logique JS : i18n, fetch APIs, graphiques, rendu DOM</w:t>
            </w:r>
          </w:p>
        </w:tc>
      </w:tr>
    </w:tbl>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2. Sources de données</w:t>
      </w:r>
    </w:p>
    <w:p>
      <w:pPr>
        <w:pStyle w:val="Heading3"/>
        <w:spacing w:after="80" w:before="240"/>
      </w:pPr>
      <w:r>
        <w:rPr>
          <w:rFonts w:ascii="Arial" w:cs="Arial" w:eastAsia="Arial" w:hAnsi="Arial"/>
          <w:b/>
          <w:bCs/>
          <w:color w:val="0D1F3C"/>
          <w:sz w:val="24"/>
          <w:szCs w:val="24"/>
        </w:rPr>
        <w:t xml:space="preserve">2.1 Analyses textuelles — Google Sheets</w:t>
      </w:r>
    </w:p>
    <w:p>
      <w:pPr>
        <w:spacing w:after="100"/>
      </w:pPr>
      <w:r>
        <w:rPr>
          <w:rFonts w:ascii="Arial" w:cs="Arial" w:eastAsia="Arial" w:hAnsi="Arial"/>
          <w:b/>
          <w:bCs/>
          <w:color w:val="0D1F3C"/>
          <w:sz w:val="20"/>
          <w:szCs w:val="20"/>
        </w:rPr>
        <w:t xml:space="preserve">Sheet ID : </w:t>
      </w:r>
      <w:r>
        <w:rPr>
          <w:rFonts w:ascii="Arial" w:cs="Arial" w:eastAsia="Arial" w:hAnsi="Arial"/>
          <w:color w:val="4A5468"/>
          <w:sz w:val="20"/>
          <w:szCs w:val="20"/>
        </w:rPr>
        <w:t xml:space="preserve">1uZeF8NfStd_j7_rBL9pmAcT-RrOM4xQ7PE--Siekidw</w:t>
      </w:r>
    </w:p>
    <w:p>
      <w:pPr>
        <w:spacing w:after="100"/>
      </w:pPr>
      <w:r>
        <w:rPr>
          <w:rFonts w:ascii="Arial" w:cs="Arial" w:eastAsia="Arial" w:hAnsi="Arial"/>
          <w:b/>
          <w:bCs/>
          <w:color w:val="0D1F3C"/>
          <w:sz w:val="20"/>
          <w:szCs w:val="20"/>
        </w:rPr>
        <w:t xml:space="preserve">Onglet : </w:t>
      </w:r>
      <w:r>
        <w:rPr>
          <w:rFonts w:ascii="Arial" w:cs="Arial" w:eastAsia="Arial" w:hAnsi="Arial"/>
          <w:color w:val="4A5468"/>
          <w:sz w:val="20"/>
          <w:szCs w:val="20"/>
        </w:rPr>
        <w:t xml:space="preserve">Analysis_Barometer</w:t>
      </w:r>
    </w:p>
    <w:p>
      <w:pPr>
        <w:spacing w:after="120"/>
      </w:pPr>
      <w:r>
        <w:rPr>
          <w:rFonts w:ascii="Arial" w:cs="Arial" w:eastAsia="Arial" w:hAnsi="Arial"/>
          <w:color w:val="4A5468"/>
          <w:sz w:val="20"/>
          <w:szCs w:val="20"/>
        </w:rPr>
        <w:t xml:space="preserve">URL de lecture (CSV public, sans clé API) :</w:t>
      </w:r>
    </w:p>
    <w:p>
      <w:pPr>
        <w:spacing w:after="60"/>
        <w:ind w:left="360"/>
      </w:pPr>
      <w:r>
        <w:rPr>
          <w:rFonts w:ascii="Courier New" w:cs="Courier New" w:eastAsia="Courier New" w:hAnsi="Courier New"/>
          <w:color w:val="1e2535"/>
          <w:sz w:val="17"/>
          <w:szCs w:val="17"/>
          <w:shd w:fill="EEEEEE" w:val="clear"/>
        </w:rPr>
        <w:t xml:space="preserve">https://docs.google.com/spreadsheets/d/{ID}/gviz/tq?tqx=out:csv&amp;sheet=Analysis_Barometer</w:t>
      </w:r>
    </w:p>
    <w:p>
      <w:pPr>
        <w:spacing w:after="120"/>
      </w:pPr>
      <w:r>
        <w:rPr>
          <w:rFonts w:ascii="Arial" w:cs="Arial" w:eastAsia="Arial" w:hAnsi="Arial"/>
          <w:color w:val="4A5468"/>
          <w:sz w:val="20"/>
          <w:szCs w:val="20"/>
        </w:rPr>
        <w:t xml:space="preserve">Prérequis : Sheet partagé en lecture publique (Partager &gt; Accès général &gt; Toute personne avec le lien &gt; Lecteur).</w:t>
      </w:r>
    </w:p>
    <w:p>
      <w:pPr>
        <w:spacing w:after="60"/>
      </w:pPr>
      <w:r>
        <w:t xml:space="preserve"/>
      </w:r>
    </w:p>
    <w:p>
      <w:pPr>
        <w:spacing w:after="120"/>
      </w:pPr>
      <w:r>
        <w:rPr>
          <w:rFonts w:ascii="Arial" w:cs="Arial" w:eastAsia="Arial" w:hAnsi="Arial"/>
          <w:color w:val="4A5468"/>
          <w:sz w:val="20"/>
          <w:szCs w:val="20"/>
        </w:rPr>
        <w:t xml:space="preserve">Structure de l'onglet (row 1 = en-têtes, noms exacts obligatoires)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600"/>
        <w:gridCol w:w="5860"/>
      </w:tblGrid>
      <w:tr>
        <w:trPr>
          <w:tblHeader/>
        </w:trPr>
        <w:tc>
          <w:tcPr>
            <w:tcW w:type="dxa" w:w="4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Col</w:t>
            </w:r>
          </w:p>
        </w:tc>
        <w:tc>
          <w:tcPr>
            <w:tcW w:type="dxa" w:w="15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Nom</w:t>
            </w:r>
          </w:p>
        </w:tc>
        <w:tc>
          <w:tcPr>
            <w:tcW w:type="dxa" w:w="16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Format</w:t>
            </w:r>
          </w:p>
        </w:tc>
        <w:tc>
          <w:tcPr>
            <w:tcW w:type="dxa" w:w="58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block_key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texte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Identifiant du bloc (8 valeurs possibles, voir ci-dessous)</w:t>
            </w:r>
          </w:p>
        </w:tc>
      </w:tr>
      <w:tr>
        <w:tc>
          <w:tcPr>
            <w:tcW w:type="dxa" w:w="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B</w:t>
            </w:r>
          </w:p>
        </w:tc>
        <w:tc>
          <w:tcPr>
            <w:tcW w:type="dxa" w:w="15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title_fr</w:t>
            </w:r>
          </w:p>
        </w:tc>
        <w:tc>
          <w:tcPr>
            <w:tcW w:type="dxa" w:w="1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texte</w:t>
            </w:r>
          </w:p>
        </w:tc>
        <w:tc>
          <w:tcPr>
            <w:tcW w:type="dxa" w:w="58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Titre de l'analyse en français (inutilisé visuellement mais conservé)</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title_en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texte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Titre de l'analyse en anglais</w:t>
            </w:r>
          </w:p>
        </w:tc>
      </w:tr>
      <w:tr>
        <w:tc>
          <w:tcPr>
            <w:tcW w:type="dxa" w:w="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D</w:t>
            </w:r>
          </w:p>
        </w:tc>
        <w:tc>
          <w:tcPr>
            <w:tcW w:type="dxa" w:w="15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analysis_fr</w:t>
            </w:r>
          </w:p>
        </w:tc>
        <w:tc>
          <w:tcPr>
            <w:tcW w:type="dxa" w:w="1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texte</w:t>
            </w:r>
          </w:p>
        </w:tc>
        <w:tc>
          <w:tcPr>
            <w:tcW w:type="dxa" w:w="58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Corps de l'analyse FR (paragraphes séparés par retour à la ligne)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analysis_en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texte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Corps de l'analyse EN</w:t>
            </w:r>
          </w:p>
        </w:tc>
      </w:tr>
      <w:tr>
        <w:tc>
          <w:tcPr>
            <w:tcW w:type="dxa" w:w="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F</w:t>
            </w:r>
          </w:p>
        </w:tc>
        <w:tc>
          <w:tcPr>
            <w:tcW w:type="dxa" w:w="15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sources</w:t>
            </w:r>
          </w:p>
        </w:tc>
        <w:tc>
          <w:tcPr>
            <w:tcW w:type="dxa" w:w="1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texte</w:t>
            </w:r>
          </w:p>
        </w:tc>
        <w:tc>
          <w:tcPr>
            <w:tcW w:type="dxa" w:w="58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Sources séparées par ; — format : Nom|URL ou Nom seul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publish_date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DD/MM/YYYY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Date publication — alimente "Dernière mise à jour" dans le hero</w:t>
            </w:r>
          </w:p>
        </w:tc>
      </w:tr>
      <w:tr>
        <w:tc>
          <w:tcPr>
            <w:tcW w:type="dxa" w:w="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H</w:t>
            </w:r>
          </w:p>
        </w:tc>
        <w:tc>
          <w:tcPr>
            <w:tcW w:type="dxa" w:w="15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status</w:t>
            </w:r>
          </w:p>
        </w:tc>
        <w:tc>
          <w:tcPr>
            <w:tcW w:type="dxa" w:w="1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texte</w:t>
            </w:r>
          </w:p>
        </w:tc>
        <w:tc>
          <w:tcPr>
            <w:tcW w:type="dxa" w:w="58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"published" = affiché / "draft" = masqué</w:t>
            </w:r>
          </w:p>
        </w:tc>
      </w:tr>
    </w:tbl>
    <w:p>
      <w:pPr>
        <w:spacing w:after="60"/>
      </w:pPr>
      <w:r>
        <w:t xml:space="preserve"/>
      </w:r>
    </w:p>
    <w:p>
      <w:pPr>
        <w:spacing w:after="120"/>
      </w:pPr>
      <w:r>
        <w:rPr>
          <w:rFonts w:ascii="Arial" w:cs="Arial" w:eastAsia="Arial" w:hAnsi="Arial"/>
          <w:color w:val="4A5468"/>
          <w:sz w:val="20"/>
          <w:szCs w:val="20"/>
        </w:rPr>
        <w:t xml:space="preserve">Block_keys reconnus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block_key</w:t>
            </w:r>
          </w:p>
        </w:tc>
        <w:tc>
          <w:tcPr>
            <w:tcW w:type="dxa" w:w="69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polysilicon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Étape 1 — Prix du polysilicium</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wafer_cell</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Étape 2 — Wafers &amp; cellules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cost_breakdown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Étape 3 — Structure de coût module</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modules_fob</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Étape 4 — Modules FOB Chine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sea_freight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Étape 5 — Fret maritime</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exchange_rate</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Étape 6 — Taux de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modules_ddp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Étape 7 — Modules FCA/DDP Europe</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market_analysis</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Étape 8 — Analyse Synapsun (mensuelle)</w:t>
            </w:r>
          </w:p>
        </w:tc>
      </w:tr>
    </w:tbl>
    <w:p>
      <w:pPr>
        <w:pBdr>
          <w:left w:val="single" w:color="F97316" w:sz="12" w:space="8"/>
        </w:pBdr>
        <w:spacing w:after="120" w:before="80"/>
        <w:ind w:left="360"/>
      </w:pPr>
      <w:r>
        <w:rPr>
          <w:rFonts w:ascii="Arial" w:cs="Arial" w:eastAsia="Arial" w:hAnsi="Arial"/>
          <w:i/>
          <w:iCs/>
          <w:color w:val="4A5468"/>
          <w:sz w:val="18"/>
          <w:szCs w:val="18"/>
        </w:rPr>
        <w:t xml:space="preserve">Si analysis_fr/analysis_en est vide, le bloc analyse est masqué automatiquement. Si la colonne sources est vide, la ligne "Sources :" est masquée.</w:t>
      </w:r>
    </w:p>
    <w:p>
      <w:pPr>
        <w:spacing w:after="60"/>
      </w:pPr>
      <w:r>
        <w:t xml:space="preserve"/>
      </w:r>
    </w:p>
    <w:p>
      <w:pPr>
        <w:pStyle w:val="Heading3"/>
        <w:spacing w:after="80" w:before="240"/>
      </w:pPr>
      <w:r>
        <w:rPr>
          <w:rFonts w:ascii="Arial" w:cs="Arial" w:eastAsia="Arial" w:hAnsi="Arial"/>
          <w:b/>
          <w:bCs/>
          <w:color w:val="0D1F3C"/>
          <w:sz w:val="24"/>
          <w:szCs w:val="24"/>
        </w:rPr>
        <w:t xml:space="preserve">2.2 Graphiques Taiyang News (iframes)</w:t>
      </w:r>
    </w:p>
    <w:p>
      <w:pPr>
        <w:spacing w:after="120"/>
      </w:pPr>
      <w:r>
        <w:rPr>
          <w:rFonts w:ascii="Arial" w:cs="Arial" w:eastAsia="Arial" w:hAnsi="Arial"/>
          <w:color w:val="4A5468"/>
          <w:sz w:val="20"/>
          <w:szCs w:val="20"/>
        </w:rPr>
        <w:t xml:space="preserve">Les sections polysilicium et wafers/cellules intègrent l'application GitHub Pages Synapsun :</w:t>
      </w:r>
    </w:p>
    <w:p>
      <w:pPr>
        <w:spacing w:after="60"/>
        <w:ind w:left="360"/>
      </w:pPr>
      <w:r>
        <w:rPr>
          <w:rFonts w:ascii="Courier New" w:cs="Courier New" w:eastAsia="Courier New" w:hAnsi="Courier New"/>
          <w:color w:val="1e2535"/>
          <w:sz w:val="17"/>
          <w:szCs w:val="17"/>
          <w:shd w:fill="EEEEEE" w:val="clear"/>
        </w:rPr>
        <w:t xml:space="preserve">https://it-dev-synapsun.github.io/graph-gsheet-tayang/</w:t>
      </w:r>
    </w:p>
    <w:p>
      <w:pPr>
        <w:spacing w:after="120"/>
      </w:pPr>
      <w:r>
        <w:rPr>
          <w:rFonts w:ascii="Arial" w:cs="Arial" w:eastAsia="Arial" w:hAnsi="Arial"/>
          <w:color w:val="4A5468"/>
          <w:sz w:val="20"/>
          <w:szCs w:val="20"/>
        </w:rPr>
        <w:t xml:space="preserve">Cette app lit directement le Sheet Taiyang principal. Hauteur : 520px. Maintenue dans le repo GitHub it-dev-synapsun/graph-gsheet-tayang.</w:t>
      </w:r>
    </w:p>
    <w:p>
      <w:pPr>
        <w:spacing w:after="60"/>
      </w:pPr>
      <w:r>
        <w:t xml:space="preserve"/>
      </w:r>
    </w:p>
    <w:p>
      <w:pPr>
        <w:pStyle w:val="Heading3"/>
        <w:spacing w:after="80" w:before="240"/>
      </w:pPr>
      <w:r>
        <w:rPr>
          <w:rFonts w:ascii="Arial" w:cs="Arial" w:eastAsia="Arial" w:hAnsi="Arial"/>
          <w:b/>
          <w:bCs/>
          <w:color w:val="0D1F3C"/>
          <w:sz w:val="24"/>
          <w:szCs w:val="24"/>
        </w:rPr>
        <w:t xml:space="preserve">2.3 Graphiques Zoho Analytics (iframes)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Section</w:t>
            </w:r>
          </w:p>
        </w:tc>
        <w:tc>
          <w:tcPr>
            <w:tcW w:type="dxa" w:w="71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URL open-view Zoho (tronquée)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Modules FOB (section 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https://analytics.zoho.com/open-view/1373627000026674027/...</w:t>
            </w:r>
          </w:p>
        </w:tc>
      </w:tr>
      <w:tr>
        <w:tc>
          <w:tcPr>
            <w:tcW w:type="dxa" w:w="2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Fret maritime (section 5)</w:t>
            </w:r>
          </w:p>
        </w:tc>
        <w:tc>
          <w:tcPr>
            <w:tcW w:type="dxa" w:w="71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https://analytics.zoho.com/open-view/1373627000026674003/...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Modules DDP (section 7)</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https://analytics.zoho.com/open-view/1373627000026674231/...</w:t>
            </w:r>
          </w:p>
        </w:tc>
      </w:tr>
    </w:tbl>
    <w:p>
      <w:pPr>
        <w:spacing w:after="120"/>
      </w:pPr>
      <w:r>
        <w:rPr>
          <w:rFonts w:ascii="Arial" w:cs="Arial" w:eastAsia="Arial" w:hAnsi="Arial"/>
          <w:color w:val="4A5468"/>
          <w:sz w:val="20"/>
          <w:szCs w:val="20"/>
        </w:rPr>
        <w:t xml:space="preserve">Hauteur : 420px. Pour mettre à jour un graphique Zoho : modifier le rapport dans Zoho Analytics &gt; Publier &gt; copier la nouvelle URL embed &gt; remplacer dans le HTML.</w:t>
      </w:r>
    </w:p>
    <w:p>
      <w:pPr>
        <w:spacing w:after="60"/>
      </w:pPr>
      <w:r>
        <w:t xml:space="preserve"/>
      </w:r>
    </w:p>
    <w:p>
      <w:pPr>
        <w:pStyle w:val="Heading3"/>
        <w:spacing w:after="80" w:before="240"/>
      </w:pPr>
      <w:r>
        <w:rPr>
          <w:rFonts w:ascii="Arial" w:cs="Arial" w:eastAsia="Arial" w:hAnsi="Arial"/>
          <w:b/>
          <w:bCs/>
          <w:color w:val="0D1F3C"/>
          <w:sz w:val="24"/>
          <w:szCs w:val="24"/>
        </w:rPr>
        <w:t xml:space="preserve">2.4 Taux de change (FX)</w:t>
      </w:r>
    </w:p>
    <w:p>
      <w:pPr>
        <w:pStyle w:val="ListParagraph"/>
        <w:numPr>
          <w:ilvl w:val="0"/>
          <w:numId w:val="2"/>
        </w:numPr>
        <w:spacing w:after="80"/>
      </w:pPr>
      <w:r>
        <w:rPr>
          <w:rFonts w:ascii="Arial" w:cs="Arial" w:eastAsia="Arial" w:hAnsi="Arial"/>
          <w:b/>
          <w:bCs/>
          <w:color w:val="0D1F3C"/>
          <w:sz w:val="20"/>
          <w:szCs w:val="20"/>
        </w:rPr>
        <w:t xml:space="preserve">Taux live (KPI cards) : </w:t>
      </w:r>
      <w:r>
        <w:rPr>
          <w:rFonts w:ascii="Arial" w:cs="Arial" w:eastAsia="Arial" w:hAnsi="Arial"/>
          <w:color w:val="4A5468"/>
          <w:sz w:val="20"/>
          <w:szCs w:val="20"/>
        </w:rPr>
        <w:t xml:space="preserve">open.er-api.com/v6/latest/EUR — JSON, gratuit, sans clé. Renvoie EUR/USD, EUR/CNY, USD/CNY.</w:t>
      </w:r>
    </w:p>
    <w:p>
      <w:pPr>
        <w:pStyle w:val="ListParagraph"/>
        <w:numPr>
          <w:ilvl w:val="0"/>
          <w:numId w:val="2"/>
        </w:numPr>
        <w:spacing w:after="80"/>
      </w:pPr>
      <w:r>
        <w:rPr>
          <w:rFonts w:ascii="Arial" w:cs="Arial" w:eastAsia="Arial" w:hAnsi="Arial"/>
          <w:b/>
          <w:bCs/>
          <w:color w:val="0D1F3C"/>
          <w:sz w:val="20"/>
          <w:szCs w:val="20"/>
        </w:rPr>
        <w:t xml:space="preserve">Historique 12 mois (graphique) : </w:t>
      </w:r>
      <w:r>
        <w:rPr>
          <w:rFonts w:ascii="Arial" w:cs="Arial" w:eastAsia="Arial" w:hAnsi="Arial"/>
          <w:color w:val="4A5468"/>
          <w:sz w:val="20"/>
          <w:szCs w:val="20"/>
        </w:rPr>
        <w:t xml:space="preserve">data-api.ecb.europa.eu — CSV, gratuit, sans clé, Banque Centrale Européenne. 1 point/semaine après filtrage.</w:t>
      </w:r>
    </w:p>
    <w:p>
      <w:pPr>
        <w:pBdr>
          <w:left w:val="single" w:color="F97316" w:sz="12" w:space="8"/>
        </w:pBdr>
        <w:spacing w:after="120" w:before="80"/>
        <w:ind w:left="360"/>
      </w:pPr>
      <w:r>
        <w:rPr>
          <w:rFonts w:ascii="Arial" w:cs="Arial" w:eastAsia="Arial" w:hAnsi="Arial"/>
          <w:i/>
          <w:iCs/>
          <w:color w:val="4A5468"/>
          <w:sz w:val="18"/>
          <w:szCs w:val="18"/>
        </w:rPr>
        <w:t xml:space="preserve">Si l'API BCE est indisponible : fallback automatique sur des données mock générées autour du taux live réel. Si open.er-api.com échoue, les KPIs restent à "…".</w:t>
      </w:r>
    </w:p>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3. JavaScript — Fonctions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Fonction</w:t>
            </w:r>
          </w:p>
        </w:tc>
        <w:tc>
          <w:tcPr>
            <w:tcW w:type="dxa" w:w="40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Rôle</w:t>
            </w:r>
          </w:p>
        </w:tc>
        <w:tc>
          <w:tcPr>
            <w:tcW w:type="dxa" w:w="27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Déclencheur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loadAnalyses()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Fetch CSV Sheets, parse, stocke dans window._analysesData, appelle renderAnalyses()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DOMContentLoaded</w:t>
            </w:r>
          </w:p>
        </w:tc>
      </w:tr>
      <w:tr>
        <w:tc>
          <w:tcPr>
            <w:tcW w:type="dxa" w:w="2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renderAnalyses(data)</w:t>
            </w:r>
          </w:p>
        </w:tc>
        <w:tc>
          <w:tcPr>
            <w:tcW w:type="dxa" w:w="40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Injecte textes/dates/sources dans chaque bloc .ac selon la langue active</w:t>
            </w:r>
          </w:p>
        </w:tc>
        <w:tc>
          <w:tcPr>
            <w:tcW w:type="dxa" w:w="27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loadAnalyses(), setLang()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showAnalysesError(msg)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Affiche un message d'erreur dans tous les blocs si le Sheet est inaccessible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loadAnalyses() catch</w:t>
            </w:r>
          </w:p>
        </w:tc>
      </w:tr>
      <w:tr>
        <w:tc>
          <w:tcPr>
            <w:tcW w:type="dxa" w:w="2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loadFX()</w:t>
            </w:r>
          </w:p>
        </w:tc>
        <w:tc>
          <w:tcPr>
            <w:tcW w:type="dxa" w:w="40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Fetch taux live (er-api) + historique BCE, met à jour KPIs et graphique</w:t>
            </w:r>
          </w:p>
        </w:tc>
        <w:tc>
          <w:tcPr>
            <w:tcW w:type="dxa" w:w="27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DOMContentLoaded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renderFxChart()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Construit/recrée le Chart.js avec données historiques, 1 point/semaine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loadFX(), setLang()</w:t>
            </w:r>
          </w:p>
        </w:tc>
      </w:tr>
      <w:tr>
        <w:tc>
          <w:tcPr>
            <w:tcW w:type="dxa" w:w="2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buildFxChartMock()</w:t>
            </w:r>
          </w:p>
        </w:tc>
        <w:tc>
          <w:tcPr>
            <w:tcW w:type="dxa" w:w="40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Génère 52 semaines de données mock si BCE indisponible</w:t>
            </w:r>
          </w:p>
        </w:tc>
        <w:tc>
          <w:tcPr>
            <w:tcW w:type="dxa" w:w="27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loadFX() fallback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renderBreakdown()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Génère les barres de coût TOPCon/BC depuis la constante BREAKDOWN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DOMContentLoaded, setLang()</w:t>
            </w:r>
          </w:p>
        </w:tc>
      </w:tr>
      <w:tr>
        <w:tc>
          <w:tcPr>
            <w:tcW w:type="dxa" w:w="2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setLang(lang)</w:t>
            </w:r>
          </w:p>
        </w:tc>
        <w:tc>
          <w:tcPr>
            <w:tcW w:type="dxa" w:w="40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Change la langue, réapplique i18n, re-render analyses + graphique + breakdown</w:t>
            </w:r>
          </w:p>
        </w:tc>
        <w:tc>
          <w:tcPr>
            <w:tcW w:type="dxa" w:w="27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Boutons drapeaux FR/EN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applyI18n()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Parcourt data-i18n et data-i18n-html pour mettre à jour tous les libellés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setLang()</w:t>
            </w:r>
          </w:p>
        </w:tc>
      </w:tr>
      <w:tr>
        <w:tc>
          <w:tcPr>
            <w:tcW w:type="dxa" w:w="2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detectLang()</w:t>
            </w:r>
          </w:p>
        </w:tc>
        <w:tc>
          <w:tcPr>
            <w:tcW w:type="dxa" w:w="40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Lit document.documentElement.lang (attribut Symfony) pour détecter la locale</w:t>
            </w:r>
          </w:p>
        </w:tc>
        <w:tc>
          <w:tcPr>
            <w:tcW w:type="dxa" w:w="27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DOMContentLoaded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parseCSV(text)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Parser CSV RFC 4180 (gère guillemets et virgules dans les cellules)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loadAnalyses()</w:t>
            </w:r>
          </w:p>
        </w:tc>
      </w:tr>
      <w:tr>
        <w:tc>
          <w:tcPr>
            <w:tcW w:type="dxa" w:w="2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initTocObserver()</w:t>
            </w:r>
          </w:p>
        </w:tc>
        <w:tc>
          <w:tcPr>
            <w:tcW w:type="dxa" w:w="40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IntersectionObserver pour l'active state de la nav sticky</w:t>
            </w:r>
          </w:p>
        </w:tc>
        <w:tc>
          <w:tcPr>
            <w:tcW w:type="dxa" w:w="27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DOMContentLoaded</w:t>
            </w:r>
          </w:p>
        </w:tc>
      </w:tr>
    </w:tbl>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4. Constantes éditables dans 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Constante</w:t>
            </w:r>
          </w:p>
        </w:tc>
        <w:tc>
          <w:tcPr>
            <w:tcW w:type="dxa" w:w="28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Emplacement</w:t>
            </w:r>
          </w:p>
        </w:tc>
        <w:tc>
          <w:tcPr>
            <w:tcW w:type="dxa" w:w="43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Ce qu'elle contrôle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SHEET_ID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Haut du bloc &lt;script&gt;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ID du Google Sheet — à changer si le Sheet est recréé</w:t>
            </w:r>
          </w:p>
        </w:tc>
      </w:tr>
      <w:tr>
        <w:tc>
          <w:tcPr>
            <w:tcW w:type="dxa" w:w="2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SHEET_TAB</w:t>
            </w:r>
          </w:p>
        </w:tc>
        <w:tc>
          <w:tcPr>
            <w:tcW w:type="dxa" w:w="28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Haut du bloc &lt;script&gt;</w:t>
            </w:r>
          </w:p>
        </w:tc>
        <w:tc>
          <w:tcPr>
            <w:tcW w:type="dxa" w:w="43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Nom exact de l'onglet analyses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STRINGS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Bloc &lt;script&gt;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Tous les libellés FR et EN de l'interface</w:t>
            </w:r>
          </w:p>
        </w:tc>
      </w:tr>
      <w:tr>
        <w:tc>
          <w:tcPr>
            <w:tcW w:type="dxa" w:w="2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BREAKDOWN.topcon</w:t>
            </w:r>
          </w:p>
        </w:tc>
        <w:tc>
          <w:tcPr>
            <w:tcW w:type="dxa" w:w="28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Bas du bloc &lt;script&gt;</w:t>
            </w:r>
          </w:p>
        </w:tc>
        <w:tc>
          <w:tcPr>
            <w:tcW w:type="dxa" w:w="43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Pourcentages de décomposition de coût TOPCon (9 composants)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BREAKDOWN.bc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Bas du bloc &lt;script&gt;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Pourcentages de décomposition de coût Back Contact (9 composants)</w:t>
            </w:r>
          </w:p>
        </w:tc>
      </w:tr>
    </w:tbl>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5. i18n — Système de traduction</w:t>
      </w:r>
    </w:p>
    <w:p>
      <w:pPr>
        <w:spacing w:after="120"/>
      </w:pPr>
      <w:r>
        <w:rPr>
          <w:rFonts w:ascii="Arial" w:cs="Arial" w:eastAsia="Arial" w:hAnsi="Arial"/>
          <w:color w:val="4A5468"/>
          <w:sz w:val="20"/>
          <w:szCs w:val="20"/>
        </w:rPr>
        <w:t xml:space="preserve">Tous les libellés de l'interface sont dans l'objet STRINGS au début du script. Structure :</w:t>
      </w:r>
    </w:p>
    <w:p>
      <w:pPr>
        <w:spacing w:after="60"/>
        <w:ind w:left="360"/>
      </w:pPr>
      <w:r>
        <w:rPr>
          <w:rFonts w:ascii="Courier New" w:cs="Courier New" w:eastAsia="Courier New" w:hAnsi="Courier New"/>
          <w:color w:val="1e2535"/>
          <w:sz w:val="17"/>
          <w:szCs w:val="17"/>
          <w:shd w:fill="EEEEEE" w:val="clear"/>
        </w:rPr>
        <w:t xml:space="preserve">const STRINGS = { fr: { nav1: "Polysilicium", s1_title: "Prix du polysilicium", ... }, en: { ... } }</w:t>
      </w:r>
    </w:p>
    <w:p>
      <w:pPr>
        <w:spacing w:after="120"/>
      </w:pPr>
      <w:r>
        <w:rPr>
          <w:rFonts w:ascii="Arial" w:cs="Arial" w:eastAsia="Arial" w:hAnsi="Arial"/>
          <w:color w:val="4A5468"/>
          <w:sz w:val="20"/>
          <w:szCs w:val="20"/>
        </w:rPr>
        <w:t xml:space="preserve">Détection automatique : lecture de document.documentElement.lang (attribut &lt;html lang="fr"&gt; géré par Symfony). Le switch manuel (drapeaux) appelle setLang(lang). Les analyses ont des colonnes distinctes par langue dans le Sheet (analysis_fr / analysis_en).</w:t>
      </w:r>
    </w:p>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6.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Élément</w:t>
            </w:r>
          </w:p>
        </w:tc>
        <w:tc>
          <w:tcPr>
            <w:tcW w:type="dxa" w:w="69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Valeur /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&lt;title&gt;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Baromètre des prix modules photovoltaïques 2025 | Synapsun</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meta description</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~155 car., mots-clés métier : TOPCon, Back Contact, polysilicium, FOB, fret...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meta keywords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Liste de mots-clés sectoriels</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canonical</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https://synapsun.com/fr/barometre-prix-modules-photovoltaiques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hreflang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fr, en, x-default — à mettre à jour si l'URL EN change</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Open Graph</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og:type, og:title, og:description, og:image, og:locale fr_FR + alternate en_GB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Twitter 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summary_large_image</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JSON-LD WebPage</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Avec BreadcrumbList : Accueil &gt; Modules PV &gt; Baromètre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JSON-LD Dataset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Variables mesurées, couverture temporelle 2024/.., créateur Synapsun</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Image OG à créer</w:t>
            </w:r>
          </w:p>
        </w:tc>
        <w:tc>
          <w:tcPr>
            <w:tcW w:type="dxa" w:w="69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synapsun.com/build/img/og-barometre-pv.jpg — format 1200×630px obligatoire</w:t>
            </w:r>
          </w:p>
        </w:tc>
      </w:tr>
    </w:tbl>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7. Intégration Symfony</w:t>
      </w:r>
    </w:p>
    <w:p>
      <w:pPr>
        <w:pStyle w:val="Heading3"/>
        <w:spacing w:after="80" w:before="240"/>
      </w:pPr>
      <w:r>
        <w:rPr>
          <w:rFonts w:ascii="Arial" w:cs="Arial" w:eastAsia="Arial" w:hAnsi="Arial"/>
          <w:b/>
          <w:bCs/>
          <w:color w:val="0D1F3C"/>
          <w:sz w:val="24"/>
          <w:szCs w:val="24"/>
        </w:rPr>
        <w:t xml:space="preserve">7.1 Conversion en template Twig</w:t>
      </w:r>
    </w:p>
    <w:p>
      <w:pPr>
        <w:pStyle w:val="ListParagraph"/>
        <w:numPr>
          <w:ilvl w:val="0"/>
          <w:numId w:val="2"/>
        </w:numPr>
        <w:spacing w:after="80"/>
      </w:pPr>
      <w:r>
        <w:rPr>
          <w:rFonts w:ascii="Arial" w:cs="Arial" w:eastAsia="Arial" w:hAnsi="Arial"/>
          <w:color w:val="4A5468"/>
          <w:sz w:val="20"/>
          <w:szCs w:val="20"/>
        </w:rPr>
        <w:t xml:space="preserve">La balise &lt;html lang="fr"&gt; doit reprendre la variable Symfony : &lt;html lang="{{ app.request.locale }}"&gt; — c'est ce qui déclenche la détection automatique de langue.</w:t>
      </w:r>
    </w:p>
    <w:p>
      <w:pPr>
        <w:pStyle w:val="ListParagraph"/>
        <w:numPr>
          <w:ilvl w:val="0"/>
          <w:numId w:val="2"/>
        </w:numPr>
        <w:spacing w:after="80"/>
      </w:pPr>
      <w:r>
        <w:rPr>
          <w:rFonts w:ascii="Arial" w:cs="Arial" w:eastAsia="Arial" w:hAnsi="Arial"/>
          <w:color w:val="4A5468"/>
          <w:sz w:val="20"/>
          <w:szCs w:val="20"/>
        </w:rPr>
        <w:t xml:space="preserve">Les CDN (Chart.js, Google Fonts) peuvent rester en CDN ou être intégrés dans Webpack Encore.</w:t>
      </w:r>
    </w:p>
    <w:p>
      <w:pPr>
        <w:pStyle w:val="ListParagraph"/>
        <w:numPr>
          <w:ilvl w:val="0"/>
          <w:numId w:val="2"/>
        </w:numPr>
        <w:spacing w:after="80"/>
      </w:pPr>
      <w:r>
        <w:rPr>
          <w:rFonts w:ascii="Arial" w:cs="Arial" w:eastAsia="Arial" w:hAnsi="Arial"/>
          <w:color w:val="4A5468"/>
          <w:sz w:val="20"/>
          <w:szCs w:val="20"/>
        </w:rPr>
        <w:t xml:space="preserve">Route Symfony FR : /fr/barometre-prix-modules-photovoltaiques</w:t>
      </w:r>
    </w:p>
    <w:p>
      <w:pPr>
        <w:pStyle w:val="ListParagraph"/>
        <w:numPr>
          <w:ilvl w:val="0"/>
          <w:numId w:val="2"/>
        </w:numPr>
        <w:spacing w:after="80"/>
      </w:pPr>
      <w:r>
        <w:rPr>
          <w:rFonts w:ascii="Arial" w:cs="Arial" w:eastAsia="Arial" w:hAnsi="Arial"/>
          <w:color w:val="4A5468"/>
          <w:sz w:val="20"/>
          <w:szCs w:val="20"/>
        </w:rPr>
        <w:t xml:space="preserve">Route Symfony EN : /en/pv-module-price-barometer</w:t>
      </w:r>
    </w:p>
    <w:p>
      <w:pPr>
        <w:pStyle w:val="ListParagraph"/>
        <w:numPr>
          <w:ilvl w:val="0"/>
          <w:numId w:val="2"/>
        </w:numPr>
        <w:spacing w:after="80"/>
      </w:pPr>
      <w:r>
        <w:rPr>
          <w:rFonts w:ascii="Arial" w:cs="Arial" w:eastAsia="Arial" w:hAnsi="Arial"/>
          <w:color w:val="4A5468"/>
          <w:sz w:val="20"/>
          <w:szCs w:val="20"/>
        </w:rPr>
        <w:t xml:space="preserve">La page n'a pas besoin de contrôleur Symfony particulier — un template statique suffit.</w:t>
      </w:r>
    </w:p>
    <w:p>
      <w:pPr>
        <w:spacing w:after="60"/>
      </w:pPr>
      <w:r>
        <w:t xml:space="preserve"/>
      </w:r>
    </w:p>
    <w:p>
      <w:pPr>
        <w:pStyle w:val="Heading3"/>
        <w:spacing w:after="80" w:before="240"/>
      </w:pPr>
      <w:r>
        <w:rPr>
          <w:rFonts w:ascii="Arial" w:cs="Arial" w:eastAsia="Arial" w:hAnsi="Arial"/>
          <w:b/>
          <w:bCs/>
          <w:color w:val="0D1F3C"/>
          <w:sz w:val="24"/>
          <w:szCs w:val="24"/>
        </w:rPr>
        <w:t xml:space="preserve">7.2 Points CORS</w:t>
      </w:r>
    </w:p>
    <w:p>
      <w:pPr>
        <w:pStyle w:val="ListParagraph"/>
        <w:numPr>
          <w:ilvl w:val="0"/>
          <w:numId w:val="2"/>
        </w:numPr>
        <w:spacing w:after="80"/>
      </w:pPr>
      <w:r>
        <w:rPr>
          <w:rFonts w:ascii="Arial" w:cs="Arial" w:eastAsia="Arial" w:hAnsi="Arial"/>
          <w:color w:val="4A5468"/>
          <w:sz w:val="20"/>
          <w:szCs w:val="20"/>
        </w:rPr>
        <w:t xml:space="preserve">Toutes les APIs (Sheets, open.er-api, BCE, Zoho, GitHub Pages) sont appelées côté navigateur, pas depuis le serveur. Pas de problème CORS serveur.</w:t>
      </w:r>
    </w:p>
    <w:p>
      <w:pPr>
        <w:pStyle w:val="ListParagraph"/>
        <w:numPr>
          <w:ilvl w:val="0"/>
          <w:numId w:val="2"/>
        </w:numPr>
        <w:spacing w:after="80"/>
      </w:pPr>
      <w:r>
        <w:rPr>
          <w:rFonts w:ascii="Arial" w:cs="Arial" w:eastAsia="Arial" w:hAnsi="Arial"/>
          <w:color w:val="4A5468"/>
          <w:sz w:val="20"/>
          <w:szCs w:val="20"/>
        </w:rPr>
        <w:t xml:space="preserve">Ne pas ouvrir la page via file:// — utiliser un vrai serveur (localhost ou domaine) pour les tests.</w:t>
      </w:r>
    </w:p>
    <w:p>
      <w:pPr>
        <w:pStyle w:val="ListParagraph"/>
        <w:numPr>
          <w:ilvl w:val="0"/>
          <w:numId w:val="2"/>
        </w:numPr>
        <w:spacing w:after="80"/>
      </w:pPr>
      <w:r>
        <w:rPr>
          <w:rFonts w:ascii="Arial" w:cs="Arial" w:eastAsia="Arial" w:hAnsi="Arial"/>
          <w:color w:val="4A5468"/>
          <w:sz w:val="20"/>
          <w:szCs w:val="20"/>
        </w:rPr>
        <w:t xml:space="preserve">Zoho Analytics iframes : vérifier que les rapports sont bien en accès public (open-view).</w:t>
      </w:r>
    </w:p>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8. Faire évoluer le baromètre</w:t>
      </w:r>
    </w:p>
    <w:p>
      <w:pPr>
        <w:pStyle w:val="Heading3"/>
        <w:spacing w:after="80" w:before="240"/>
      </w:pPr>
      <w:r>
        <w:rPr>
          <w:rFonts w:ascii="Arial" w:cs="Arial" w:eastAsia="Arial" w:hAnsi="Arial"/>
          <w:b/>
          <w:bCs/>
          <w:color w:val="0D1F3C"/>
          <w:sz w:val="24"/>
          <w:szCs w:val="24"/>
        </w:rPr>
        <w:t xml:space="preserve">8.1 Ajouter une nouvelle technologie de module</w:t>
      </w:r>
    </w:p>
    <w:p>
      <w:pPr>
        <w:spacing w:after="120"/>
      </w:pPr>
      <w:r>
        <w:rPr>
          <w:rFonts w:ascii="Arial" w:cs="Arial" w:eastAsia="Arial" w:hAnsi="Arial"/>
          <w:color w:val="4A5468"/>
          <w:sz w:val="20"/>
          <w:szCs w:val="20"/>
        </w:rPr>
        <w:t xml:space="preserve">1. Ajouter un objet dans la constante BREAKDOWN (ex: hjt: [{key:"poly",pct:16}, ...]).</w:t>
      </w:r>
    </w:p>
    <w:p>
      <w:pPr>
        <w:spacing w:after="120"/>
      </w:pPr>
      <w:r>
        <w:rPr>
          <w:rFonts w:ascii="Arial" w:cs="Arial" w:eastAsia="Arial" w:hAnsi="Arial"/>
          <w:color w:val="4A5468"/>
          <w:sz w:val="20"/>
          <w:szCs w:val="20"/>
        </w:rPr>
        <w:t xml:space="preserve">2. Ajouter un bloc HTML dans &lt;section id="cost-breakdown"&gt;.</w:t>
      </w:r>
    </w:p>
    <w:p>
      <w:pPr>
        <w:spacing w:after="120"/>
      </w:pPr>
      <w:r>
        <w:rPr>
          <w:rFonts w:ascii="Arial" w:cs="Arial" w:eastAsia="Arial" w:hAnsi="Arial"/>
          <w:color w:val="4A5468"/>
          <w:sz w:val="20"/>
          <w:szCs w:val="20"/>
        </w:rPr>
        <w:t xml:space="preserve">3. Ajouter les labels dans STRINGS.fr et STRINGS.en (clés bd_component_xxx).</w:t>
      </w:r>
    </w:p>
    <w:p>
      <w:pPr>
        <w:spacing w:after="120"/>
      </w:pPr>
      <w:r>
        <w:rPr>
          <w:rFonts w:ascii="Arial" w:cs="Arial" w:eastAsia="Arial" w:hAnsi="Arial"/>
          <w:color w:val="4A5468"/>
          <w:sz w:val="20"/>
          <w:szCs w:val="20"/>
        </w:rPr>
        <w:t xml:space="preserve">4. Créer les graphiques Zoho correspondants et mettre à jour les iframes.</w:t>
      </w:r>
    </w:p>
    <w:p>
      <w:pPr>
        <w:spacing w:after="60"/>
      </w:pPr>
      <w:r>
        <w:t xml:space="preserve"/>
      </w:r>
    </w:p>
    <w:p>
      <w:pPr>
        <w:pStyle w:val="Heading3"/>
        <w:spacing w:after="80" w:before="240"/>
      </w:pPr>
      <w:r>
        <w:rPr>
          <w:rFonts w:ascii="Arial" w:cs="Arial" w:eastAsia="Arial" w:hAnsi="Arial"/>
          <w:b/>
          <w:bCs/>
          <w:color w:val="0D1F3C"/>
          <w:sz w:val="24"/>
          <w:szCs w:val="24"/>
        </w:rPr>
        <w:t xml:space="preserve">8.2 Ajouter une nouvelle section au baromètre</w:t>
      </w:r>
    </w:p>
    <w:p>
      <w:pPr>
        <w:spacing w:after="120"/>
      </w:pPr>
      <w:r>
        <w:rPr>
          <w:rFonts w:ascii="Arial" w:cs="Arial" w:eastAsia="Arial" w:hAnsi="Arial"/>
          <w:color w:val="4A5468"/>
          <w:sz w:val="20"/>
          <w:szCs w:val="20"/>
        </w:rPr>
        <w:t xml:space="preserve">1. Créer la section HTML (copier/coller une section existante, changer l'id et le block_key).</w:t>
      </w:r>
    </w:p>
    <w:p>
      <w:pPr>
        <w:spacing w:after="120"/>
      </w:pPr>
      <w:r>
        <w:rPr>
          <w:rFonts w:ascii="Arial" w:cs="Arial" w:eastAsia="Arial" w:hAnsi="Arial"/>
          <w:color w:val="4A5468"/>
          <w:sz w:val="20"/>
          <w:szCs w:val="20"/>
        </w:rPr>
        <w:t xml:space="preserve">2. Ajouter le lien dans la &lt;nav.toc&gt; avec le bon href.</w:t>
      </w:r>
    </w:p>
    <w:p>
      <w:pPr>
        <w:spacing w:after="120"/>
      </w:pPr>
      <w:r>
        <w:rPr>
          <w:rFonts w:ascii="Arial" w:cs="Arial" w:eastAsia="Arial" w:hAnsi="Arial"/>
          <w:color w:val="4A5468"/>
          <w:sz w:val="20"/>
          <w:szCs w:val="20"/>
        </w:rPr>
        <w:t xml:space="preserve">3. Ajouter les clés de traduction dans STRINGS.fr et STRINGS.en.</w:t>
      </w:r>
    </w:p>
    <w:p>
      <w:pPr>
        <w:spacing w:after="120"/>
      </w:pPr>
      <w:r>
        <w:rPr>
          <w:rFonts w:ascii="Arial" w:cs="Arial" w:eastAsia="Arial" w:hAnsi="Arial"/>
          <w:color w:val="4A5468"/>
          <w:sz w:val="20"/>
          <w:szCs w:val="20"/>
        </w:rPr>
        <w:t xml:space="preserve">4. Ajouter le block_key dans le Google Sheet.</w:t>
      </w:r>
    </w:p>
    <w:p>
      <w:pPr>
        <w:spacing w:after="60"/>
      </w:pPr>
      <w:r>
        <w:t xml:space="preserve"/>
      </w:r>
    </w:p>
    <w:p>
      <w:pPr>
        <w:pStyle w:val="Heading3"/>
        <w:spacing w:after="80" w:before="240"/>
      </w:pPr>
      <w:r>
        <w:rPr>
          <w:rFonts w:ascii="Arial" w:cs="Arial" w:eastAsia="Arial" w:hAnsi="Arial"/>
          <w:b/>
          <w:bCs/>
          <w:color w:val="0D1F3C"/>
          <w:sz w:val="24"/>
          <w:szCs w:val="24"/>
        </w:rPr>
        <w:t xml:space="preserve">8.3 Changer une source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Source à changer</w:t>
            </w:r>
          </w:p>
        </w:tc>
        <w:tc>
          <w:tcPr>
            <w:tcW w:type="dxa" w:w="61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Où dans le fichier HTML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Sheet Google (analyses)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const SHEET_ID et SHEET_TAB en haut du &lt;script&gt;</w:t>
            </w:r>
          </w:p>
        </w:tc>
      </w:tr>
      <w:tr>
        <w:tc>
          <w:tcPr>
            <w:tcW w:type="dxa" w:w="3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Iframe Taiyang (polysilicium)</w:t>
            </w:r>
          </w:p>
        </w:tc>
        <w:tc>
          <w:tcPr>
            <w:tcW w:type="dxa" w:w="61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Attribut src de la 1ère iframe dans section #polysilicon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Iframe Taiyang (wafers/cells)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Attribut src de la 2ème iframe dans section #wafer-cell</w:t>
            </w:r>
          </w:p>
        </w:tc>
      </w:tr>
      <w:tr>
        <w:tc>
          <w:tcPr>
            <w:tcW w:type="dxa" w:w="3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Iframe Zoho FOB</w:t>
            </w:r>
          </w:p>
        </w:tc>
        <w:tc>
          <w:tcPr>
            <w:tcW w:type="dxa" w:w="61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Attribut src de l'iframe dans section #module-fob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Iframe Zoho Fret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Attribut src de l'iframe dans section #freight</w:t>
            </w:r>
          </w:p>
        </w:tc>
      </w:tr>
      <w:tr>
        <w:tc>
          <w:tcPr>
            <w:tcW w:type="dxa" w:w="3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Iframe Zoho DDP</w:t>
            </w:r>
          </w:p>
        </w:tc>
        <w:tc>
          <w:tcPr>
            <w:tcW w:type="dxa" w:w="61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Attribut src de l'iframe dans section #ddp-europe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API FX live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URL dans la fonction loadFX() — 1er fetch</w:t>
            </w:r>
          </w:p>
        </w:tc>
      </w:tr>
      <w:tr>
        <w:tc>
          <w:tcPr>
            <w:tcW w:type="dxa" w:w="32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API FX historique</w:t>
            </w:r>
          </w:p>
        </w:tc>
        <w:tc>
          <w:tcPr>
            <w:tcW w:type="dxa" w:w="61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URLs dans loadFX() — Promise.all avec les 2 fetches BCE</w:t>
            </w:r>
          </w:p>
        </w:tc>
      </w:tr>
    </w:tbl>
    <w:p>
      <w:pPr>
        <w:sectPr>
          <w:footerReference w:type="default" r:id="rId7"/>
          <w:pgSz w:w="11906" w:h="16838" w:orient="portrait"/>
          <w:pgMar w:top="1080" w:right="1080" w:bottom="1080" w:left="1080" w:header="708" w:footer="708" w:gutter="0"/>
          <w:pgNumType/>
          <w:docGrid w:linePitch="360"/>
        </w:sectPr>
      </w:pPr>
    </w:p>
    <w:p>
      <w:pPr>
        <w:pStyle w:val="Heading1"/>
        <w:spacing w:after="160" w:before="400"/>
      </w:pPr>
      <w:r>
        <w:rPr>
          <w:rFonts w:ascii="Arial" w:cs="Arial" w:eastAsia="Arial" w:hAnsi="Arial"/>
          <w:b/>
          <w:bCs/>
          <w:color w:val="0D1F3C"/>
          <w:sz w:val="36"/>
          <w:szCs w:val="36"/>
        </w:rPr>
        <w:t xml:space="preserve">Documentation Utilisateur</w:t>
      </w:r>
    </w:p>
    <w:p>
      <w:pPr>
        <w:spacing w:after="120"/>
      </w:pPr>
      <w:r>
        <w:rPr>
          <w:rFonts w:ascii="Arial" w:cs="Arial" w:eastAsia="Arial" w:hAnsi="Arial"/>
          <w:color w:val="4A5468"/>
          <w:sz w:val="20"/>
          <w:szCs w:val="20"/>
        </w:rPr>
        <w:t xml:space="preserve">Ce document s'adresse aux personnes qui mettent à jour le contenu du baromètre (rédaction des analyses, publication). Aucune compétence technique n'est requise.</w:t>
      </w:r>
    </w:p>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1. Présentation</w:t>
      </w:r>
    </w:p>
    <w:p>
      <w:pPr>
        <w:spacing w:after="120"/>
      </w:pPr>
      <w:r>
        <w:rPr>
          <w:rFonts w:ascii="Arial" w:cs="Arial" w:eastAsia="Arial" w:hAnsi="Arial"/>
          <w:color w:val="4A5468"/>
          <w:sz w:val="20"/>
          <w:szCs w:val="20"/>
        </w:rPr>
        <w:t xml:space="preserve">Le Baromètre Synapsun est une page web actualisée en continu qui suit les prix des modules photovoltaïques de la matière première (polysilicium en Chine) jusqu'au module livré en Europe (DDP). Il remplace les anciens baromètres PDF mensuels.</w:t>
      </w:r>
    </w:p>
    <w:p>
      <w:pPr>
        <w:spacing w:after="120"/>
      </w:pPr>
      <w:r>
        <w:rPr>
          <w:rFonts w:ascii="Arial" w:cs="Arial" w:eastAsia="Arial" w:hAnsi="Arial"/>
          <w:color w:val="4A5468"/>
          <w:sz w:val="20"/>
          <w:szCs w:val="20"/>
        </w:rPr>
        <w:t xml:space="preserve">Les données de prix (graphiques) se mettent à jour seules, automatiquement. La seule intervention humaine attendue est la rédaction des analyses textuelles qui accompagnent chaque section.</w:t>
      </w:r>
    </w:p>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2. Ce que vous devez faire et quand</w:t>
      </w:r>
    </w:p>
    <w:p>
      <w:pPr>
        <w:pStyle w:val="Heading3"/>
        <w:spacing w:after="80" w:before="240"/>
      </w:pPr>
      <w:r>
        <w:rPr>
          <w:rFonts w:ascii="Arial" w:cs="Arial" w:eastAsia="Arial" w:hAnsi="Arial"/>
          <w:b/>
          <w:bCs/>
          <w:color w:val="0D1F3C"/>
          <w:sz w:val="24"/>
          <w:szCs w:val="24"/>
        </w:rPr>
        <w:t xml:space="preserve">2.1 Chaque semaine (~20-30 min)</w:t>
      </w:r>
    </w:p>
    <w:p>
      <w:pPr>
        <w:pStyle w:val="ListParagraph"/>
        <w:numPr>
          <w:ilvl w:val="0"/>
          <w:numId w:val="2"/>
        </w:numPr>
        <w:spacing w:after="80"/>
      </w:pPr>
      <w:r>
        <w:rPr>
          <w:rFonts w:ascii="Arial" w:cs="Arial" w:eastAsia="Arial" w:hAnsi="Arial"/>
          <w:color w:val="4A5468"/>
          <w:sz w:val="20"/>
          <w:szCs w:val="20"/>
        </w:rPr>
        <w:t xml:space="preserve">Consulter les derniers prix Taiyang News (polysilicium, wafers, cellules, modules).</w:t>
      </w:r>
    </w:p>
    <w:p>
      <w:pPr>
        <w:pStyle w:val="ListParagraph"/>
        <w:numPr>
          <w:ilvl w:val="0"/>
          <w:numId w:val="2"/>
        </w:numPr>
        <w:spacing w:after="80"/>
      </w:pPr>
      <w:r>
        <w:rPr>
          <w:rFonts w:ascii="Arial" w:cs="Arial" w:eastAsia="Arial" w:hAnsi="Arial"/>
          <w:color w:val="4A5468"/>
          <w:sz w:val="20"/>
          <w:szCs w:val="20"/>
        </w:rPr>
        <w:t xml:space="preserve">Ouvrir le Google Sheet, onglet Analysis_Barometer.</w:t>
      </w:r>
    </w:p>
    <w:p>
      <w:pPr>
        <w:pStyle w:val="ListParagraph"/>
        <w:numPr>
          <w:ilvl w:val="0"/>
          <w:numId w:val="2"/>
        </w:numPr>
        <w:spacing w:after="80"/>
      </w:pPr>
      <w:r>
        <w:rPr>
          <w:rFonts w:ascii="Arial" w:cs="Arial" w:eastAsia="Arial" w:hAnsi="Arial"/>
          <w:color w:val="4A5468"/>
          <w:sz w:val="20"/>
          <w:szCs w:val="20"/>
        </w:rPr>
        <w:t xml:space="preserve">Mettre à jour les colonnes analysis_fr et analysis_en pour les blocs qui ont évolué (polysilicon, wafer_cell, modules_fob en priorité).</w:t>
      </w:r>
    </w:p>
    <w:p>
      <w:pPr>
        <w:pStyle w:val="ListParagraph"/>
        <w:numPr>
          <w:ilvl w:val="0"/>
          <w:numId w:val="2"/>
        </w:numPr>
        <w:spacing w:after="80"/>
      </w:pPr>
      <w:r>
        <w:rPr>
          <w:rFonts w:ascii="Arial" w:cs="Arial" w:eastAsia="Arial" w:hAnsi="Arial"/>
          <w:color w:val="4A5468"/>
          <w:sz w:val="20"/>
          <w:szCs w:val="20"/>
        </w:rPr>
        <w:t xml:space="preserve">Mettre à jour la date publish_date au format JJ/MM/AAAA.</w:t>
      </w:r>
    </w:p>
    <w:p>
      <w:pPr>
        <w:pStyle w:val="ListParagraph"/>
        <w:numPr>
          <w:ilvl w:val="0"/>
          <w:numId w:val="2"/>
        </w:numPr>
        <w:spacing w:after="80"/>
      </w:pPr>
      <w:r>
        <w:rPr>
          <w:rFonts w:ascii="Arial" w:cs="Arial" w:eastAsia="Arial" w:hAnsi="Arial"/>
          <w:color w:val="4A5468"/>
          <w:sz w:val="20"/>
          <w:szCs w:val="20"/>
        </w:rPr>
        <w:t xml:space="preserve">Vérifier que status = published.</w:t>
      </w:r>
    </w:p>
    <w:p>
      <w:pPr>
        <w:pStyle w:val="ListParagraph"/>
        <w:numPr>
          <w:ilvl w:val="0"/>
          <w:numId w:val="2"/>
        </w:numPr>
        <w:spacing w:after="80"/>
      </w:pPr>
      <w:r>
        <w:rPr>
          <w:rFonts w:ascii="Arial" w:cs="Arial" w:eastAsia="Arial" w:hAnsi="Arial"/>
          <w:color w:val="4A5468"/>
          <w:sz w:val="20"/>
          <w:szCs w:val="20"/>
        </w:rPr>
        <w:t xml:space="preserve">La page se met à jour automatiquement dès la prochaine consultation.</w:t>
      </w:r>
    </w:p>
    <w:p>
      <w:pPr>
        <w:spacing w:after="60"/>
      </w:pPr>
      <w:r>
        <w:t xml:space="preserve"/>
      </w:r>
    </w:p>
    <w:p>
      <w:pPr>
        <w:pStyle w:val="Heading3"/>
        <w:spacing w:after="80" w:before="240"/>
      </w:pPr>
      <w:r>
        <w:rPr>
          <w:rFonts w:ascii="Arial" w:cs="Arial" w:eastAsia="Arial" w:hAnsi="Arial"/>
          <w:b/>
          <w:bCs/>
          <w:color w:val="0D1F3C"/>
          <w:sz w:val="24"/>
          <w:szCs w:val="24"/>
        </w:rPr>
        <w:t xml:space="preserve">2.2 Chaque mois (~1-2h)</w:t>
      </w:r>
    </w:p>
    <w:p>
      <w:pPr>
        <w:pStyle w:val="ListParagraph"/>
        <w:numPr>
          <w:ilvl w:val="0"/>
          <w:numId w:val="2"/>
        </w:numPr>
        <w:spacing w:after="80"/>
      </w:pPr>
      <w:r>
        <w:rPr>
          <w:rFonts w:ascii="Arial" w:cs="Arial" w:eastAsia="Arial" w:hAnsi="Arial"/>
          <w:color w:val="4A5468"/>
          <w:sz w:val="20"/>
          <w:szCs w:val="20"/>
        </w:rPr>
        <w:t xml:space="preserve">Rédiger l'analyse de marché mensuelle complète dans le bloc market_analysis (colonnes analysis_fr et analysis_en).</w:t>
      </w:r>
    </w:p>
    <w:p>
      <w:pPr>
        <w:pStyle w:val="ListParagraph"/>
        <w:numPr>
          <w:ilvl w:val="0"/>
          <w:numId w:val="2"/>
        </w:numPr>
        <w:spacing w:after="80"/>
      </w:pPr>
      <w:r>
        <w:rPr>
          <w:rFonts w:ascii="Arial" w:cs="Arial" w:eastAsia="Arial" w:hAnsi="Arial"/>
          <w:color w:val="4A5468"/>
          <w:sz w:val="20"/>
          <w:szCs w:val="20"/>
        </w:rPr>
        <w:t xml:space="preserve">Réviser toutes les analyses des 8 blocs.</w:t>
      </w:r>
    </w:p>
    <w:p>
      <w:pPr>
        <w:pStyle w:val="ListParagraph"/>
        <w:numPr>
          <w:ilvl w:val="0"/>
          <w:numId w:val="2"/>
        </w:numPr>
        <w:spacing w:after="80"/>
      </w:pPr>
      <w:r>
        <w:rPr>
          <w:rFonts w:ascii="Arial" w:cs="Arial" w:eastAsia="Arial" w:hAnsi="Arial"/>
          <w:color w:val="4A5468"/>
          <w:sz w:val="20"/>
          <w:szCs w:val="20"/>
        </w:rPr>
        <w:t xml:space="preserve">Vérifier les graphiques Zoho Analytics pour s'assurer que les données sont à jour.</w:t>
      </w:r>
    </w:p>
    <w:p>
      <w:pPr>
        <w:pStyle w:val="ListParagraph"/>
        <w:numPr>
          <w:ilvl w:val="0"/>
          <w:numId w:val="2"/>
        </w:numPr>
        <w:spacing w:after="80"/>
      </w:pPr>
      <w:r>
        <w:rPr>
          <w:rFonts w:ascii="Arial" w:cs="Arial" w:eastAsia="Arial" w:hAnsi="Arial"/>
          <w:color w:val="4A5468"/>
          <w:sz w:val="20"/>
          <w:szCs w:val="20"/>
        </w:rPr>
        <w:t xml:space="preserve">Si les structures de coût ont évolué : contacter un développeur pour mettre à jour les pourcentages dans le fichier HTML.</w:t>
      </w:r>
    </w:p>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3. Rédiger les analyses</w:t>
      </w:r>
    </w:p>
    <w:p>
      <w:pPr>
        <w:pStyle w:val="Heading3"/>
        <w:spacing w:after="80" w:before="240"/>
      </w:pPr>
      <w:r>
        <w:rPr>
          <w:rFonts w:ascii="Arial" w:cs="Arial" w:eastAsia="Arial" w:hAnsi="Arial"/>
          <w:b/>
          <w:bCs/>
          <w:color w:val="0D1F3C"/>
          <w:sz w:val="24"/>
          <w:szCs w:val="24"/>
        </w:rPr>
        <w:t xml:space="preserve">3.1 Accéder au Google Sheet</w:t>
      </w:r>
    </w:p>
    <w:p>
      <w:pPr>
        <w:spacing w:after="120"/>
      </w:pPr>
      <w:r>
        <w:rPr>
          <w:rFonts w:ascii="Arial" w:cs="Arial" w:eastAsia="Arial" w:hAnsi="Arial"/>
          <w:color w:val="4A5468"/>
          <w:sz w:val="20"/>
          <w:szCs w:val="20"/>
        </w:rPr>
        <w:t xml:space="preserve">URL du Sheet :</w:t>
      </w:r>
    </w:p>
    <w:p>
      <w:pPr>
        <w:spacing w:after="60"/>
        <w:ind w:left="360"/>
      </w:pPr>
      <w:r>
        <w:rPr>
          <w:rFonts w:ascii="Courier New" w:cs="Courier New" w:eastAsia="Courier New" w:hAnsi="Courier New"/>
          <w:color w:val="1e2535"/>
          <w:sz w:val="17"/>
          <w:szCs w:val="17"/>
          <w:shd w:fill="EEEEEE" w:val="clear"/>
        </w:rPr>
        <w:t xml:space="preserve">https://docs.google.com/spreadsheets/d/1uZeF8NfStd_j7_rBL9pmAcT-RrOM4xQ7PE--Siekidw</w:t>
      </w:r>
    </w:p>
    <w:p>
      <w:pPr>
        <w:spacing w:after="120"/>
      </w:pPr>
      <w:r>
        <w:rPr>
          <w:rFonts w:ascii="Arial" w:cs="Arial" w:eastAsia="Arial" w:hAnsi="Arial"/>
          <w:color w:val="4A5468"/>
          <w:sz w:val="20"/>
          <w:szCs w:val="20"/>
        </w:rPr>
        <w:t xml:space="preserve">Aller dans l'onglet nommé Analysis_Barometer.</w:t>
      </w:r>
    </w:p>
    <w:p>
      <w:pPr>
        <w:spacing w:after="60"/>
      </w:pPr>
      <w:r>
        <w:t xml:space="preserve"/>
      </w:r>
    </w:p>
    <w:p>
      <w:pPr>
        <w:pStyle w:val="Heading3"/>
        <w:spacing w:after="80" w:before="240"/>
      </w:pPr>
      <w:r>
        <w:rPr>
          <w:rFonts w:ascii="Arial" w:cs="Arial" w:eastAsia="Arial" w:hAnsi="Arial"/>
          <w:b/>
          <w:bCs/>
          <w:color w:val="0D1F3C"/>
          <w:sz w:val="24"/>
          <w:szCs w:val="24"/>
        </w:rPr>
        <w:t xml:space="preserve">3.2 Remplir les colonnes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Colonne</w:t>
            </w:r>
          </w:p>
        </w:tc>
        <w:tc>
          <w:tcPr>
            <w:tcW w:type="dxa" w:w="34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Ce que vous saisissez</w:t>
            </w:r>
          </w:p>
        </w:tc>
        <w:tc>
          <w:tcPr>
            <w:tcW w:type="dxa" w:w="43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Exemple concret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D - analysis_fr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Texte complet en français. Pour aller à la ligne : Alt+Entrée (PC) ou Option+Entrée (Mac).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Les prix du polysilicium se sont stabilisés autour de 40 RMB/kg cette semaine...</w:t>
            </w:r>
          </w:p>
        </w:tc>
      </w:tr>
      <w:tr>
        <w:tc>
          <w:tcPr>
            <w:tcW w:type="dxa" w:w="1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E - analysis_en</w:t>
            </w:r>
          </w:p>
        </w:tc>
        <w:tc>
          <w:tcPr>
            <w:tcW w:type="dxa" w:w="3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Même texte traduit en anglais.</w:t>
            </w:r>
          </w:p>
        </w:tc>
        <w:tc>
          <w:tcPr>
            <w:tcW w:type="dxa" w:w="43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Polysilicon prices stabilized around 40 RMB/kg this week...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F - sources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Sources séparées par point-virgule. Format : Nom du média|URL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PV Magazine|https://pv-magazine.fr ; EnergyTrend</w:t>
            </w:r>
          </w:p>
        </w:tc>
      </w:tr>
      <w:tr>
        <w:tc>
          <w:tcPr>
            <w:tcW w:type="dxa" w:w="1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G - publish_date</w:t>
            </w:r>
          </w:p>
        </w:tc>
        <w:tc>
          <w:tcPr>
            <w:tcW w:type="dxa" w:w="3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Date du jour au format JJ/MM/AAAA</w:t>
            </w:r>
          </w:p>
        </w:tc>
        <w:tc>
          <w:tcPr>
            <w:tcW w:type="dxa" w:w="43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20/05/2026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H - status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published pour afficher, draft pour masquer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published</w:t>
            </w:r>
          </w:p>
        </w:tc>
      </w:tr>
    </w:tbl>
    <w:p>
      <w:pPr>
        <w:spacing w:after="60"/>
      </w:pPr>
      <w:r>
        <w:t xml:space="preserve"/>
      </w:r>
    </w:p>
    <w:p>
      <w:pPr>
        <w:pStyle w:val="Heading3"/>
        <w:spacing w:after="80" w:before="240"/>
      </w:pPr>
      <w:r>
        <w:rPr>
          <w:rFonts w:ascii="Arial" w:cs="Arial" w:eastAsia="Arial" w:hAnsi="Arial"/>
          <w:b/>
          <w:bCs/>
          <w:color w:val="0D1F3C"/>
          <w:sz w:val="24"/>
          <w:szCs w:val="24"/>
        </w:rPr>
        <w:t xml:space="preserve">3.3 Règles importantes</w:t>
      </w:r>
    </w:p>
    <w:p>
      <w:pPr>
        <w:pStyle w:val="ListParagraph"/>
        <w:numPr>
          <w:ilvl w:val="0"/>
          <w:numId w:val="2"/>
        </w:numPr>
        <w:spacing w:after="80"/>
      </w:pPr>
      <w:r>
        <w:rPr>
          <w:rFonts w:ascii="Arial" w:cs="Arial" w:eastAsia="Arial" w:hAnsi="Arial"/>
          <w:color w:val="4A5468"/>
          <w:sz w:val="20"/>
          <w:szCs w:val="20"/>
        </w:rPr>
        <w:t xml:space="preserve">Si la cellule analysis_fr ou analysis_en est vide, le bloc d'analyse est automatiquement masqué sur la page. Ce n'est pas une erreur.</w:t>
      </w:r>
    </w:p>
    <w:p>
      <w:pPr>
        <w:pStyle w:val="ListParagraph"/>
        <w:numPr>
          <w:ilvl w:val="0"/>
          <w:numId w:val="2"/>
        </w:numPr>
        <w:spacing w:after="80"/>
      </w:pPr>
      <w:r>
        <w:rPr>
          <w:rFonts w:ascii="Arial" w:cs="Arial" w:eastAsia="Arial" w:hAnsi="Arial"/>
          <w:color w:val="4A5468"/>
          <w:sz w:val="20"/>
          <w:szCs w:val="20"/>
        </w:rPr>
        <w:t xml:space="preserve">Pour préparer une analyse sans la publier : mettre "draft" dans la colonne status.</w:t>
      </w:r>
    </w:p>
    <w:p>
      <w:pPr>
        <w:pStyle w:val="ListParagraph"/>
        <w:numPr>
          <w:ilvl w:val="0"/>
          <w:numId w:val="2"/>
        </w:numPr>
        <w:spacing w:after="80"/>
      </w:pPr>
      <w:r>
        <w:rPr>
          <w:rFonts w:ascii="Arial" w:cs="Arial" w:eastAsia="Arial" w:hAnsi="Arial"/>
          <w:color w:val="4A5468"/>
          <w:sz w:val="20"/>
          <w:szCs w:val="20"/>
        </w:rPr>
        <w:t xml:space="preserve">Un seul bloc par block_key : si vous ajoutez une 2ème ligne avec le même block_key, seule la plus récente (publish_date) sera affichée.</w:t>
      </w:r>
    </w:p>
    <w:p>
      <w:pPr>
        <w:pStyle w:val="ListParagraph"/>
        <w:numPr>
          <w:ilvl w:val="0"/>
          <w:numId w:val="2"/>
        </w:numPr>
        <w:spacing w:after="80"/>
      </w:pPr>
      <w:r>
        <w:rPr>
          <w:rFonts w:ascii="Arial" w:cs="Arial" w:eastAsia="Arial" w:hAnsi="Arial"/>
          <w:color w:val="4A5468"/>
          <w:sz w:val="20"/>
          <w:szCs w:val="20"/>
        </w:rPr>
        <w:t xml:space="preserve">La date "Dernière mise à jour" dans le bandeau du site prend la date la plus récente parmi toutes les lignes published.</w:t>
      </w:r>
    </w:p>
    <w:p>
      <w:pPr>
        <w:spacing w:after="60"/>
      </w:pPr>
      <w:r>
        <w:t xml:space="preserve"/>
      </w:r>
    </w:p>
    <w:p>
      <w:pPr>
        <w:pStyle w:val="Heading3"/>
        <w:spacing w:after="80" w:before="240"/>
      </w:pPr>
      <w:r>
        <w:rPr>
          <w:rFonts w:ascii="Arial" w:cs="Arial" w:eastAsia="Arial" w:hAnsi="Arial"/>
          <w:b/>
          <w:bCs/>
          <w:color w:val="0D1F3C"/>
          <w:sz w:val="24"/>
          <w:szCs w:val="24"/>
        </w:rPr>
        <w:t xml:space="preserve">3.4 Format des sources</w:t>
      </w:r>
    </w:p>
    <w:p>
      <w:pPr>
        <w:spacing w:after="120"/>
      </w:pPr>
      <w:r>
        <w:rPr>
          <w:rFonts w:ascii="Arial" w:cs="Arial" w:eastAsia="Arial" w:hAnsi="Arial"/>
          <w:color w:val="4A5468"/>
          <w:sz w:val="20"/>
          <w:szCs w:val="20"/>
        </w:rPr>
        <w:t xml:space="preserve">Dans la colonne F, séparer les sources par un point-virgule. Deux formats possibles :</w:t>
      </w:r>
    </w:p>
    <w:p>
      <w:pPr>
        <w:spacing w:after="60"/>
        <w:ind w:left="360"/>
      </w:pPr>
      <w:r>
        <w:rPr>
          <w:rFonts w:ascii="Courier New" w:cs="Courier New" w:eastAsia="Courier New" w:hAnsi="Courier New"/>
          <w:color w:val="1e2535"/>
          <w:sz w:val="17"/>
          <w:szCs w:val="17"/>
          <w:shd w:fill="EEEEEE" w:val="clear"/>
        </w:rPr>
        <w:t xml:space="preserve">PV Magazine|https://pv-magazine.fr ; EnergyTrend|https://energytrend.com ; OPIS PV</w:t>
      </w:r>
    </w:p>
    <w:p>
      <w:pPr>
        <w:spacing w:after="120"/>
      </w:pPr>
      <w:r>
        <w:rPr>
          <w:rFonts w:ascii="Arial" w:cs="Arial" w:eastAsia="Arial" w:hAnsi="Arial"/>
          <w:color w:val="4A5468"/>
          <w:sz w:val="20"/>
          <w:szCs w:val="20"/>
        </w:rPr>
        <w:t xml:space="preserve">"Nom|URL" affiche le nom en lien cliquable. "Nom seul" affiche le nom sans lien. Si la cellule est vide, la ligne Sources n'apparaît pas.</w:t>
      </w:r>
    </w:p>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4. Vérifier la mise à jour</w:t>
      </w:r>
    </w:p>
    <w:p>
      <w:pPr>
        <w:pStyle w:val="Heading3"/>
        <w:spacing w:after="80" w:before="240"/>
      </w:pPr>
      <w:r>
        <w:rPr>
          <w:rFonts w:ascii="Arial" w:cs="Arial" w:eastAsia="Arial" w:hAnsi="Arial"/>
          <w:b/>
          <w:bCs/>
          <w:color w:val="0D1F3C"/>
          <w:sz w:val="24"/>
          <w:szCs w:val="24"/>
        </w:rPr>
        <w:t xml:space="preserve">4.1 Checklist après modification du Sheet</w:t>
      </w:r>
    </w:p>
    <w:p>
      <w:pPr>
        <w:pStyle w:val="ListParagraph"/>
        <w:numPr>
          <w:ilvl w:val="0"/>
          <w:numId w:val="2"/>
        </w:numPr>
        <w:spacing w:after="80"/>
      </w:pPr>
      <w:r>
        <w:rPr>
          <w:rFonts w:ascii="Arial" w:cs="Arial" w:eastAsia="Arial" w:hAnsi="Arial"/>
          <w:color w:val="4A5468"/>
          <w:sz w:val="20"/>
          <w:szCs w:val="20"/>
        </w:rPr>
        <w:t xml:space="preserve">Ouvrir synapsun.com/fr/barometre-prix-modules-photovoltaiques en navigation privée.</w:t>
      </w:r>
    </w:p>
    <w:p>
      <w:pPr>
        <w:pStyle w:val="ListParagraph"/>
        <w:numPr>
          <w:ilvl w:val="0"/>
          <w:numId w:val="2"/>
        </w:numPr>
        <w:spacing w:after="80"/>
      </w:pPr>
      <w:r>
        <w:rPr>
          <w:rFonts w:ascii="Arial" w:cs="Arial" w:eastAsia="Arial" w:hAnsi="Arial"/>
          <w:color w:val="4A5468"/>
          <w:sz w:val="20"/>
          <w:szCs w:val="20"/>
        </w:rPr>
        <w:t xml:space="preserve">"Dernière mise à jour" = date que vous venez de saisir dans le Sheet.</w:t>
      </w:r>
    </w:p>
    <w:p>
      <w:pPr>
        <w:pStyle w:val="ListParagraph"/>
        <w:numPr>
          <w:ilvl w:val="0"/>
          <w:numId w:val="2"/>
        </w:numPr>
        <w:spacing w:after="80"/>
      </w:pPr>
      <w:r>
        <w:rPr>
          <w:rFonts w:ascii="Arial" w:cs="Arial" w:eastAsia="Arial" w:hAnsi="Arial"/>
          <w:color w:val="4A5468"/>
          <w:sz w:val="20"/>
          <w:szCs w:val="20"/>
        </w:rPr>
        <w:t xml:space="preserve">Les analyses textuelles sont chargées (pas de barres grises animées qui restent bloquées).</w:t>
      </w:r>
    </w:p>
    <w:p>
      <w:pPr>
        <w:pStyle w:val="ListParagraph"/>
        <w:numPr>
          <w:ilvl w:val="0"/>
          <w:numId w:val="2"/>
        </w:numPr>
        <w:spacing w:after="80"/>
      </w:pPr>
      <w:r>
        <w:rPr>
          <w:rFonts w:ascii="Arial" w:cs="Arial" w:eastAsia="Arial" w:hAnsi="Arial"/>
          <w:color w:val="4A5468"/>
          <w:sz w:val="20"/>
          <w:szCs w:val="20"/>
        </w:rPr>
        <w:t xml:space="preserve">Les KPIs de taux de change affichent des valeurs numériques (pas "…").</w:t>
      </w:r>
    </w:p>
    <w:p>
      <w:pPr>
        <w:pStyle w:val="ListParagraph"/>
        <w:numPr>
          <w:ilvl w:val="0"/>
          <w:numId w:val="2"/>
        </w:numPr>
        <w:spacing w:after="80"/>
      </w:pPr>
      <w:r>
        <w:rPr>
          <w:rFonts w:ascii="Arial" w:cs="Arial" w:eastAsia="Arial" w:hAnsi="Arial"/>
          <w:color w:val="4A5468"/>
          <w:sz w:val="20"/>
          <w:szCs w:val="20"/>
        </w:rPr>
        <w:t xml:space="preserve">Tester le switch de langue EN — les textes anglais s'affichent.</w:t>
      </w:r>
    </w:p>
    <w:p>
      <w:pPr>
        <w:spacing w:after="60"/>
      </w:pPr>
      <w:r>
        <w:t xml:space="preserve"/>
      </w:r>
    </w:p>
    <w:p>
      <w:pPr>
        <w:pStyle w:val="Heading3"/>
        <w:spacing w:after="80" w:before="240"/>
      </w:pPr>
      <w:r>
        <w:rPr>
          <w:rFonts w:ascii="Arial" w:cs="Arial" w:eastAsia="Arial" w:hAnsi="Arial"/>
          <w:b/>
          <w:bCs/>
          <w:color w:val="0D1F3C"/>
          <w:sz w:val="24"/>
          <w:szCs w:val="24"/>
        </w:rPr>
        <w:t xml:space="preserve">4.2 Problèmes fréquents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Symptôme</w:t>
            </w:r>
          </w:p>
        </w:tc>
        <w:tc>
          <w:tcPr>
            <w:tcW w:type="dxa" w:w="28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Cause probable</w:t>
            </w:r>
          </w:p>
        </w:tc>
        <w:tc>
          <w:tcPr>
            <w:tcW w:type="dxa" w:w="41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Les analyses ne s'affichent pas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Sheet non public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Partager &gt; Accès général &gt; Toute personne avec le lien &gt; Lecteur</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Les analyses ne s'affichent pas</w:t>
            </w:r>
          </w:p>
        </w:tc>
        <w:tc>
          <w:tcPr>
            <w:tcW w:type="dxa" w:w="28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Colonne status non remplie ou mal orthographiée</w:t>
            </w:r>
          </w:p>
        </w:tc>
        <w:tc>
          <w:tcPr>
            <w:tcW w:type="dxa" w:w="41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Vérifier que status = "published" en minuscules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Les analyses ne s'affichent pas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block_key incorrect (espace, majuscule)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Vérifier l'orthographe exacte du block_key</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"Dernière mise à jour" vide</w:t>
            </w:r>
          </w:p>
        </w:tc>
        <w:tc>
          <w:tcPr>
            <w:tcW w:type="dxa" w:w="28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publish_date mal formatée</w:t>
            </w:r>
          </w:p>
        </w:tc>
        <w:tc>
          <w:tcPr>
            <w:tcW w:type="dxa" w:w="41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Utiliser le format JJ/MM/AAAA (ex : 20/05/2026)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Taux de change à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API externe temporairement indisponible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Attendre quelques heures, se résout seul</w:t>
            </w:r>
          </w:p>
        </w:tc>
      </w:tr>
      <w:tr>
        <w:tc>
          <w:tcPr>
            <w:tcW w:type="dxa" w:w="24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Bloc d'analyse vide mais status=published</w:t>
            </w:r>
          </w:p>
        </w:tc>
        <w:tc>
          <w:tcPr>
            <w:tcW w:type="dxa" w:w="28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Cellule analysis_fr ou analysis_en vide</w:t>
            </w:r>
          </w:p>
        </w:tc>
        <w:tc>
          <w:tcPr>
            <w:tcW w:type="dxa" w:w="41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Remplir la cellule de texte</w:t>
            </w:r>
          </w:p>
        </w:tc>
      </w:tr>
    </w:tbl>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5. Ce que vous pouvez faire sans développeur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53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Outil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Rédiger / modifier les analyses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Google Sheets — onglet Analysis_Barometer</w:t>
            </w:r>
          </w:p>
        </w:tc>
      </w:tr>
      <w:tr>
        <w:tc>
          <w:tcPr>
            <w:tcW w:type="dxa" w:w="40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Changer une date de publication</w:t>
            </w:r>
          </w:p>
        </w:tc>
        <w:tc>
          <w:tcPr>
            <w:tcW w:type="dxa" w:w="53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Google Sheets — colonne publish_date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Passer un bloc en draft ou published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Google Sheets — colonne status</w:t>
            </w:r>
          </w:p>
        </w:tc>
      </w:tr>
      <w:tr>
        <w:tc>
          <w:tcPr>
            <w:tcW w:type="dxa" w:w="40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Ajouter / modifier des sources</w:t>
            </w:r>
          </w:p>
        </w:tc>
        <w:tc>
          <w:tcPr>
            <w:tcW w:type="dxa" w:w="53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Google Sheets — colonne sources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Préparer des analyses futures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Google Sheets — status = draft</w:t>
            </w:r>
          </w:p>
        </w:tc>
      </w:tr>
    </w:tbl>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6. Ce qui nécessite un développeur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57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Pourquoi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Modifier les pourcentages de décomposition de coût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Ces valeurs sont dans le fichier HTML (constante BREAKDOWN)</w:t>
            </w:r>
          </w:p>
        </w:tc>
      </w:tr>
      <w:tr>
        <w:tc>
          <w:tcPr>
            <w:tcW w:type="dxa" w:w="3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Ajouter une nouvelle technologie (ex: HJT)</w:t>
            </w:r>
          </w:p>
        </w:tc>
        <w:tc>
          <w:tcPr>
            <w:tcW w:type="dxa" w:w="57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Modification HTML + CSS + JS + Sheet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Changer les graphiques Zoho Analytics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Remplacer les URL embed dans le HTML</w:t>
            </w:r>
          </w:p>
        </w:tc>
      </w:tr>
      <w:tr>
        <w:tc>
          <w:tcPr>
            <w:tcW w:type="dxa" w:w="3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Modifier les titres de sections / navigation</w:t>
            </w:r>
          </w:p>
        </w:tc>
        <w:tc>
          <w:tcPr>
            <w:tcW w:type="dxa" w:w="57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Ces libellés sont dans l'objet STRINGS du script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Ajouter ou supprimer une section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Modification HTML + navigation + STRINGS</w:t>
            </w:r>
          </w:p>
        </w:tc>
      </w:tr>
      <w:tr>
        <w:tc>
          <w:tcPr>
            <w:tcW w:type="dxa" w:w="36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Changer l'URL canonique / hreflang</w:t>
            </w:r>
          </w:p>
        </w:tc>
        <w:tc>
          <w:tcPr>
            <w:tcW w:type="dxa" w:w="57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Modification des balises &lt;head&gt;</w:t>
            </w:r>
          </w:p>
        </w:tc>
      </w:tr>
    </w:tbl>
    <w:p>
      <w:pPr>
        <w:pBdr>
          <w:left w:val="single" w:color="F97316" w:sz="12" w:space="8"/>
        </w:pBdr>
        <w:spacing w:after="120" w:before="80"/>
        <w:ind w:left="360"/>
      </w:pPr>
      <w:r>
        <w:rPr>
          <w:rFonts w:ascii="Arial" w:cs="Arial" w:eastAsia="Arial" w:hAnsi="Arial"/>
          <w:i/>
          <w:iCs/>
          <w:color w:val="4A5468"/>
          <w:sz w:val="18"/>
          <w:szCs w:val="18"/>
        </w:rPr>
        <w:t xml:space="preserve">Avant toute modification du fichier HTML, faire une copie de sauvegarde. Contacter l'équipe IT Synapsun.</w:t>
      </w:r>
    </w:p>
    <w:p>
      <w:pPr>
        <w:spacing w:after="60"/>
      </w:pPr>
      <w:r>
        <w:t xml:space="preserve"/>
      </w:r>
    </w:p>
    <w:p>
      <w:pPr>
        <w:pStyle w:val="Heading2"/>
        <w:pBdr>
          <w:bottom w:val="single" w:color="F97316" w:sz="4" w:space="4"/>
        </w:pBdr>
        <w:spacing w:after="120" w:before="320"/>
      </w:pPr>
      <w:r>
        <w:rPr>
          <w:rFonts w:ascii="Arial" w:cs="Arial" w:eastAsia="Arial" w:hAnsi="Arial"/>
          <w:b/>
          <w:bCs/>
          <w:color w:val="0D1F3C"/>
          <w:sz w:val="28"/>
          <w:szCs w:val="28"/>
        </w:rPr>
        <w:t xml:space="preserve">7. Ressources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Ressource</w:t>
            </w:r>
          </w:p>
        </w:tc>
        <w:tc>
          <w:tcPr>
            <w:tcW w:type="dxa" w:w="6560"/>
            <w:tcBorders>
              <w:top w:val="single" w:color="CCCCCC" w:sz="1"/>
              <w:left w:val="single" w:color="CCCCCC" w:sz="1"/>
              <w:bottom w:val="single" w:color="CCCCCC" w:sz="1"/>
              <w:right w:val="single" w:color="CCCCCC" w:sz="1"/>
            </w:tcBorders>
            <w:shd w:fill="0D1F3C" w:val="clear"/>
            <w:tcMar>
              <w:top w:type="dxa" w:w="80"/>
              <w:left w:type="dxa" w:w="100"/>
              <w:bottom w:type="dxa" w:w="80"/>
              <w:right w:type="dxa" w:w="100"/>
            </w:tcMar>
          </w:tcPr>
          <w:p>
            <w:r>
              <w:rPr>
                <w:rFonts w:ascii="Arial" w:cs="Arial" w:eastAsia="Arial" w:hAnsi="Arial"/>
                <w:b/>
                <w:bCs/>
                <w:color w:val="FFFFFF"/>
                <w:sz w:val="17"/>
                <w:szCs w:val="17"/>
              </w:rPr>
              <w:t xml:space="preserve">Lien / Contact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Page baromètre (FR)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https://synapsun.com/fr/barometre-prix-modules-photovoltaiques</w:t>
            </w:r>
          </w:p>
        </w:tc>
      </w:tr>
      <w:tr>
        <w:tc>
          <w:tcPr>
            <w:tcW w:type="dxa" w:w="28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Google Sheet analyses</w:t>
            </w:r>
          </w:p>
        </w:tc>
        <w:tc>
          <w:tcPr>
            <w:tcW w:type="dxa" w:w="65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https://docs.google.com/spreadsheets/d/1uZeF8NfStd_j7_rBL9pmAcT-RrOM4xQ7PE--Siekidw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Graphiques Taiyang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https://it-dev-synapsun.github.io/graph-gsheet-tayang/</w:t>
            </w:r>
          </w:p>
        </w:tc>
      </w:tr>
      <w:tr>
        <w:tc>
          <w:tcPr>
            <w:tcW w:type="dxa" w:w="28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Zoho Analytics</w:t>
            </w:r>
          </w:p>
        </w:tc>
        <w:tc>
          <w:tcPr>
            <w:tcW w:type="dxa" w:w="65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https://analytics.zoho.com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Prendre RDV équipe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A5468"/>
                <w:sz w:val="17"/>
                <w:szCs w:val="17"/>
              </w:rPr>
              <w:t xml:space="preserve">https://rdv.synapsun.com/#/4122613000006690172</w:t>
            </w:r>
          </w:p>
        </w:tc>
      </w:tr>
      <w:tr>
        <w:tc>
          <w:tcPr>
            <w:tcW w:type="dxa" w:w="280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Contact Synapsun</w:t>
            </w:r>
          </w:p>
        </w:tc>
        <w:tc>
          <w:tcPr>
            <w:tcW w:type="dxa" w:w="6560"/>
            <w:tcBorders>
              <w:top w:val="single" w:color="CCCCCC" w:sz="1"/>
              <w:left w:val="single" w:color="CCCCCC" w:sz="1"/>
              <w:bottom w:val="single" w:color="CCCCCC" w:sz="1"/>
              <w:right w:val="single" w:color="CCCCCC" w:sz="1"/>
            </w:tcBorders>
            <w:shd w:fill="EEF0F4" w:val="clear"/>
            <w:tcMar>
              <w:top w:type="dxa" w:w="80"/>
              <w:left w:type="dxa" w:w="100"/>
              <w:bottom w:type="dxa" w:w="80"/>
              <w:right w:type="dxa" w:w="100"/>
            </w:tcMar>
          </w:tcPr>
          <w:p>
            <w:r>
              <w:rPr>
                <w:rFonts w:ascii="Arial" w:cs="Arial" w:eastAsia="Arial" w:hAnsi="Arial"/>
                <w:color w:val="4A5468"/>
                <w:sz w:val="17"/>
                <w:szCs w:val="17"/>
              </w:rPr>
              <w:t xml:space="preserve">https://synapsun.com/fr/contact</w:t>
            </w:r>
          </w:p>
        </w:tc>
      </w:tr>
    </w:tbl>
    <w:sectPr>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AAAAAA"/>
        <w:sz w:val="16"/>
        <w:szCs w:val="16"/>
      </w:rPr>
      <w:t xml:space="preserve">Synapsun — Documentation technique   </w:t>
    </w:r>
    <w:r>
      <w:rPr>
        <w:rFonts w:ascii="Arial" w:cs="Arial" w:eastAsia="Arial" w:hAnsi="Arial"/>
        <w:color w:val="F9731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AAAAAA"/>
        <w:sz w:val="16"/>
        <w:szCs w:val="16"/>
      </w:rPr>
      <w:t xml:space="preserve">Synapsun — Documentation utilisateur   </w:t>
    </w:r>
    <w:r>
      <w:rPr>
        <w:rFonts w:ascii="Arial" w:cs="Arial" w:eastAsia="Arial" w:hAnsi="Arial"/>
        <w:color w:val="F9731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F3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1F3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D1F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Baromètre PV Synapsun — Documentation</dc:title>
  <dc:creator>Synapsun / Barsolo</dc:creator>
  <cp:lastModifiedBy>Un-named</cp:lastModifiedBy>
  <cp:revision>1</cp:revision>
  <dcterms:created xsi:type="dcterms:W3CDTF">2026-05-21T09:21:18.819Z</dcterms:created>
  <dcterms:modified xsi:type="dcterms:W3CDTF">2026-05-21T09:21:18.819Z</dcterms:modified>
</cp:coreProperties>
</file>

<file path=docProps/custom.xml><?xml version="1.0" encoding="utf-8"?>
<Properties xmlns="http://schemas.openxmlformats.org/officeDocument/2006/custom-properties" xmlns:vt="http://schemas.openxmlformats.org/officeDocument/2006/docPropsVTypes"/>
</file>