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3A5F"/>
          <w:sz w:val="56"/>
          <w:szCs w:val="56"/>
        </w:rPr>
        <w:t xml:space="preserve">RADAR</w:t>
      </w:r>
    </w:p>
    <w:p>
      <w:pPr>
        <w:spacing w:after="100"/>
        <w:jc w:val="center"/>
      </w:pPr>
      <w:r>
        <w:rPr>
          <w:rFonts w:ascii="Arial" w:cs="Arial" w:eastAsia="Arial" w:hAnsi="Arial"/>
          <w:color w:val="666666"/>
          <w:sz w:val="28"/>
          <w:szCs w:val="28"/>
        </w:rPr>
        <w:t xml:space="preserve">Executive AI Agent for Customer Success Leaders</w:t>
      </w:r>
    </w:p>
    <w:p>
      <w:pPr>
        <w:spacing w:after="400"/>
        <w:jc w:val="center"/>
      </w:pPr>
      <w:r>
        <w:rPr>
          <w:rFonts w:ascii="Arial" w:cs="Arial" w:eastAsia="Arial" w:hAnsi="Arial"/>
          <w:i/>
          <w:iCs/>
          <w:sz w:val="22"/>
          <w:szCs w:val="22"/>
        </w:rPr>
        <w:t xml:space="preserve">"Always one step ahead, like Radar O'Reilly"</w:t>
      </w:r>
    </w:p>
    <w:p>
      <w:pPr>
        <w:spacing w:after="100"/>
        <w:jc w:val="center"/>
      </w:pPr>
      <w:r>
        <w:rPr>
          <w:rFonts w:ascii="Arial" w:cs="Arial" w:eastAsia="Arial" w:hAnsi="Arial"/>
          <w:b/>
          <w:bCs/>
          <w:sz w:val="24"/>
          <w:szCs w:val="24"/>
        </w:rPr>
        <w:t xml:space="preserve">Capability Inventory &amp; Requirements Specification</w:t>
      </w:r>
    </w:p>
    <w:p>
      <w:pPr>
        <w:spacing w:after="600"/>
        <w:jc w:val="center"/>
      </w:pPr>
      <w:r>
        <w:rPr>
          <w:rFonts w:ascii="Arial" w:cs="Arial" w:eastAsia="Arial" w:hAnsi="Arial"/>
          <w:color w:val="666666"/>
          <w:sz w:val="20"/>
          <w:szCs w:val="20"/>
        </w:rPr>
        <w:t xml:space="preserve">Version 1.0 | January 2026</w:t>
      </w:r>
    </w:p>
    <w:p>
      <w:pPr>
        <w:pStyle w:val="Heading1"/>
        <w:spacing w:before="400" w:after="200"/>
      </w:pPr>
      <w:r>
        <w:rPr>
          <w:rFonts w:ascii="Arial" w:cs="Arial" w:eastAsia="Arial" w:hAnsi="Arial"/>
          <w:b/>
          <w:bCs/>
          <w:sz w:val="32"/>
          <w:szCs w:val="32"/>
        </w:rPr>
        <w:t xml:space="preserve">Executive Summary</w:t>
      </w:r>
    </w:p>
    <w:p>
      <w:pPr>
        <w:spacing w:after="120"/>
      </w:pPr>
      <w:r>
        <w:rPr>
          <w:rFonts w:ascii="Arial" w:cs="Arial" w:eastAsia="Arial" w:hAnsi="Arial"/>
          <w:b w:val="false"/>
          <w:bCs w:val="false"/>
          <w:sz w:val="22"/>
          <w:szCs w:val="22"/>
        </w:rPr>
        <w:t xml:space="preserve">Radar is an AI-powered executive assistant designed specifically for Customer Success leaders at enterprise B2B SaaS companies. The name evokes Radar O'Reilly from M*A*S*H, the legendary aide who anticipated needs before they were spoken. This document outlines the capability inventory, informed by research on what works (and fails) in executive AI agents and CS dashboards.</w:t>
      </w:r>
    </w:p>
    <w:p>
      <w:pPr>
        <w:spacing w:after="120"/>
      </w:pPr>
      <w:r>
        <w:rPr>
          <w:rFonts w:ascii="Arial" w:cs="Arial" w:eastAsia="Arial" w:hAnsi="Arial"/>
          <w:b w:val="false"/>
          <w:bCs w:val="false"/>
          <w:sz w:val="22"/>
          <w:szCs w:val="22"/>
        </w:rPr>
        <w:t xml:space="preserve">Key design principles derived from research:</w:t>
      </w:r>
    </w:p>
    <w:p>
      <w:pPr>
        <w:pStyle w:val="ListParagraph"/>
        <w:numPr>
          <w:ilvl w:val="0"/>
          <w:numId w:val="2"/>
        </w:numPr>
      </w:pPr>
      <w:r>
        <w:rPr>
          <w:rFonts w:ascii="Arial" w:cs="Arial" w:eastAsia="Arial" w:hAnsi="Arial"/>
          <w:sz w:val="22"/>
          <w:szCs w:val="22"/>
        </w:rPr>
        <w:t xml:space="preserve">Decision-support over data-display: Dashboards fail when they show metrics without guiding action</w:t>
      </w:r>
    </w:p>
    <w:p>
      <w:pPr>
        <w:pStyle w:val="ListParagraph"/>
        <w:numPr>
          <w:ilvl w:val="0"/>
          <w:numId w:val="2"/>
        </w:numPr>
      </w:pPr>
      <w:r>
        <w:rPr>
          <w:rFonts w:ascii="Arial" w:cs="Arial" w:eastAsia="Arial" w:hAnsi="Arial"/>
          <w:sz w:val="22"/>
          <w:szCs w:val="22"/>
        </w:rPr>
        <w:t xml:space="preserve">Anticipatory intelligence: Like Radar O'Reilly, the agent should surface issues before they're asked about</w:t>
      </w:r>
    </w:p>
    <w:p>
      <w:pPr>
        <w:pStyle w:val="ListParagraph"/>
        <w:numPr>
          <w:ilvl w:val="0"/>
          <w:numId w:val="2"/>
        </w:numPr>
      </w:pPr>
      <w:r>
        <w:rPr>
          <w:rFonts w:ascii="Arial" w:cs="Arial" w:eastAsia="Arial" w:hAnsi="Arial"/>
          <w:sz w:val="22"/>
          <w:szCs w:val="22"/>
        </w:rPr>
        <w:t xml:space="preserve">Human-in-the-loop: Over 40% of agentic AI projects fail (Gartner 2025) when autonomy exceeds trust; Radar assists rather than replaces judgment</w:t>
      </w:r>
    </w:p>
    <w:p>
      <w:pPr>
        <w:pStyle w:val="ListParagraph"/>
        <w:numPr>
          <w:ilvl w:val="0"/>
          <w:numId w:val="2"/>
        </w:numPr>
      </w:pPr>
      <w:r>
        <w:rPr>
          <w:rFonts w:ascii="Arial" w:cs="Arial" w:eastAsia="Arial" w:hAnsi="Arial"/>
          <w:sz w:val="22"/>
          <w:szCs w:val="22"/>
        </w:rPr>
        <w:t xml:space="preserve">Plumbing over intelligence: The hard problems are data integration and context management, not model capability</w:t>
      </w:r>
    </w:p>
    <w:p>
      <w:r>
        <w:br w:type="page"/>
      </w:r>
    </w:p>
    <w:p>
      <w:pPr>
        <w:pStyle w:val="Heading1"/>
        <w:spacing w:before="400" w:after="200"/>
      </w:pPr>
      <w:r>
        <w:rPr>
          <w:rFonts w:ascii="Arial" w:cs="Arial" w:eastAsia="Arial" w:hAnsi="Arial"/>
          <w:b/>
          <w:bCs/>
          <w:sz w:val="32"/>
          <w:szCs w:val="32"/>
        </w:rPr>
        <w:t xml:space="preserve">1. Morning Brief Module</w:t>
      </w:r>
    </w:p>
    <w:p>
      <w:pPr>
        <w:spacing w:after="120"/>
      </w:pPr>
      <w:r>
        <w:rPr>
          <w:rFonts w:ascii="Arial" w:cs="Arial" w:eastAsia="Arial" w:hAnsi="Arial"/>
          <w:b w:val="false"/>
          <w:bCs w:val="false"/>
          <w:sz w:val="22"/>
          <w:szCs w:val="22"/>
        </w:rPr>
        <w:t xml:space="preserve">The cornerstone of Radar's value proposition. Research shows executives want to start the day knowing exactly what needs attention. Samsung's Now Brief and Meta's planned AI briefing validate consumer demand; enterprise needs are more specialized.</w:t>
      </w:r>
    </w:p>
    <w:p>
      <w:pPr>
        <w:pStyle w:val="Heading2"/>
        <w:spacing w:before="300" w:after="150"/>
      </w:pPr>
      <w:r>
        <w:rPr>
          <w:rFonts w:ascii="Arial" w:cs="Arial" w:eastAsia="Arial" w:hAnsi="Arial"/>
          <w:b/>
          <w:bCs/>
          <w:sz w:val="28"/>
          <w:szCs w:val="28"/>
        </w:rPr>
        <w:t xml:space="preserve">1.1 Daily Snapshot</w:t>
      </w:r>
    </w:p>
    <w:p>
      <w:pPr>
        <w:spacing w:after="120"/>
      </w:pPr>
      <w:r>
        <w:rPr>
          <w:rFonts w:ascii="Arial" w:cs="Arial" w:eastAsia="Arial" w:hAnsi="Arial"/>
          <w:b w:val="false"/>
          <w:bCs w:val="false"/>
          <w:sz w:val="22"/>
          <w:szCs w:val="22"/>
        </w:rPr>
        <w:t xml:space="preserve">Delivered at a configurable time (default 7:30 AM local), the Morning Brief provides a synthesized view of the last 24 hours. Unlike traditional dashboards that display raw metrics, the brief surfaces anomalies, trends, and required actions.</w:t>
      </w:r>
    </w:p>
    <w:p>
      <w:pPr>
        <w:pStyle w:val="Heading3"/>
        <w:spacing w:before="200" w:after="100"/>
      </w:pPr>
      <w:r>
        <w:rPr>
          <w:rFonts w:ascii="Arial" w:cs="Arial" w:eastAsia="Arial" w:hAnsi="Arial"/>
          <w:b/>
          <w:bCs/>
          <w:sz w:val="24"/>
          <w:szCs w:val="24"/>
        </w:rPr>
        <w:t xml:space="preserve">1.1.1 Portfolio Health Summary</w:t>
      </w:r>
    </w:p>
    <w:p>
      <w:pPr>
        <w:pStyle w:val="ListParagraph"/>
        <w:numPr>
          <w:ilvl w:val="0"/>
          <w:numId w:val="2"/>
        </w:numPr>
      </w:pPr>
      <w:r>
        <w:rPr>
          <w:rFonts w:ascii="Arial" w:cs="Arial" w:eastAsia="Arial" w:hAnsi="Arial"/>
          <w:sz w:val="22"/>
          <w:szCs w:val="22"/>
        </w:rPr>
        <w:t xml:space="preserve">Overall health score trend (green/yellow/red accounts vs. yesterday)</w:t>
      </w:r>
    </w:p>
    <w:p>
      <w:pPr>
        <w:pStyle w:val="ListParagraph"/>
        <w:numPr>
          <w:ilvl w:val="0"/>
          <w:numId w:val="2"/>
        </w:numPr>
      </w:pPr>
      <w:r>
        <w:rPr>
          <w:rFonts w:ascii="Arial" w:cs="Arial" w:eastAsia="Arial" w:hAnsi="Arial"/>
          <w:sz w:val="22"/>
          <w:szCs w:val="22"/>
        </w:rPr>
        <w:t xml:space="preserve">Accounts that moved status (newly at-risk, recovered, escalated)</w:t>
      </w:r>
    </w:p>
    <w:p>
      <w:pPr>
        <w:pStyle w:val="ListParagraph"/>
        <w:numPr>
          <w:ilvl w:val="0"/>
          <w:numId w:val="2"/>
        </w:numPr>
      </w:pPr>
      <w:r>
        <w:rPr>
          <w:rFonts w:ascii="Arial" w:cs="Arial" w:eastAsia="Arial" w:hAnsi="Arial"/>
          <w:sz w:val="22"/>
          <w:szCs w:val="22"/>
        </w:rPr>
        <w:t xml:space="preserve">Revenue at risk delta ($$$ change from prior day)</w:t>
      </w:r>
    </w:p>
    <w:p>
      <w:pPr>
        <w:pStyle w:val="ListParagraph"/>
        <w:numPr>
          <w:ilvl w:val="0"/>
          <w:numId w:val="2"/>
        </w:numPr>
      </w:pPr>
      <w:r>
        <w:rPr>
          <w:rFonts w:ascii="Arial" w:cs="Arial" w:eastAsia="Arial" w:hAnsi="Arial"/>
          <w:sz w:val="22"/>
          <w:szCs w:val="22"/>
        </w:rPr>
        <w:t xml:space="preserve">Churn prediction confidence intervals for upcoming 30/60/90 days</w:t>
      </w:r>
    </w:p>
    <w:p>
      <w:pPr>
        <w:pStyle w:val="Heading3"/>
        <w:spacing w:before="200" w:after="100"/>
      </w:pPr>
      <w:r>
        <w:rPr>
          <w:rFonts w:ascii="Arial" w:cs="Arial" w:eastAsia="Arial" w:hAnsi="Arial"/>
          <w:b/>
          <w:bCs/>
          <w:sz w:val="24"/>
          <w:szCs w:val="24"/>
        </w:rPr>
        <w:t xml:space="preserve">1.1.2 Key Events Overnight</w:t>
      </w:r>
    </w:p>
    <w:p>
      <w:pPr>
        <w:pStyle w:val="ListParagraph"/>
        <w:numPr>
          <w:ilvl w:val="0"/>
          <w:numId w:val="2"/>
        </w:numPr>
      </w:pPr>
      <w:r>
        <w:rPr>
          <w:rFonts w:ascii="Arial" w:cs="Arial" w:eastAsia="Arial" w:hAnsi="Arial"/>
          <w:sz w:val="22"/>
          <w:szCs w:val="22"/>
        </w:rPr>
        <w:t xml:space="preserve">Support tickets opened, especially severity 1-2 from strategic accounts</w:t>
      </w:r>
    </w:p>
    <w:p>
      <w:pPr>
        <w:pStyle w:val="ListParagraph"/>
        <w:numPr>
          <w:ilvl w:val="0"/>
          <w:numId w:val="2"/>
        </w:numPr>
      </w:pPr>
      <w:r>
        <w:rPr>
          <w:rFonts w:ascii="Arial" w:cs="Arial" w:eastAsia="Arial" w:hAnsi="Arial"/>
          <w:sz w:val="22"/>
          <w:szCs w:val="22"/>
        </w:rPr>
        <w:t xml:space="preserve">NPS/CSAT scores submitted (with sentiment analysis of comments)</w:t>
      </w:r>
    </w:p>
    <w:p>
      <w:pPr>
        <w:pStyle w:val="ListParagraph"/>
        <w:numPr>
          <w:ilvl w:val="0"/>
          <w:numId w:val="2"/>
        </w:numPr>
      </w:pPr>
      <w:r>
        <w:rPr>
          <w:rFonts w:ascii="Arial" w:cs="Arial" w:eastAsia="Arial" w:hAnsi="Arial"/>
          <w:sz w:val="22"/>
          <w:szCs w:val="22"/>
        </w:rPr>
        <w:t xml:space="preserve">Product usage anomalies (sudden drops, unusual patterns)</w:t>
      </w:r>
    </w:p>
    <w:p>
      <w:pPr>
        <w:pStyle w:val="ListParagraph"/>
        <w:numPr>
          <w:ilvl w:val="0"/>
          <w:numId w:val="2"/>
        </w:numPr>
      </w:pPr>
      <w:r>
        <w:rPr>
          <w:rFonts w:ascii="Arial" w:cs="Arial" w:eastAsia="Arial" w:hAnsi="Arial"/>
          <w:sz w:val="22"/>
          <w:szCs w:val="22"/>
        </w:rPr>
        <w:t xml:space="preserve">Executive-level communications received (emails from C-suite contacts)</w:t>
      </w:r>
    </w:p>
    <w:p>
      <w:pPr>
        <w:pStyle w:val="ListParagraph"/>
        <w:numPr>
          <w:ilvl w:val="0"/>
          <w:numId w:val="2"/>
        </w:numPr>
      </w:pPr>
      <w:r>
        <w:rPr>
          <w:rFonts w:ascii="Arial" w:cs="Arial" w:eastAsia="Arial" w:hAnsi="Arial"/>
          <w:sz w:val="22"/>
          <w:szCs w:val="22"/>
        </w:rPr>
        <w:t xml:space="preserve">Renewal/contract milestones approaching (30/60/90 day windows)</w:t>
      </w:r>
    </w:p>
    <w:p>
      <w:pPr>
        <w:pStyle w:val="Heading3"/>
        <w:spacing w:before="200" w:after="100"/>
      </w:pPr>
      <w:r>
        <w:rPr>
          <w:rFonts w:ascii="Arial" w:cs="Arial" w:eastAsia="Arial" w:hAnsi="Arial"/>
          <w:b/>
          <w:bCs/>
          <w:sz w:val="24"/>
          <w:szCs w:val="24"/>
        </w:rPr>
        <w:t xml:space="preserve">1.1.3 Today's Priority Actions</w:t>
      </w:r>
    </w:p>
    <w:p>
      <w:pPr>
        <w:spacing w:after="120"/>
      </w:pPr>
      <w:r>
        <w:rPr>
          <w:rFonts w:ascii="Arial" w:cs="Arial" w:eastAsia="Arial" w:hAnsi="Arial"/>
          <w:b w:val="false"/>
          <w:bCs w:val="false"/>
          <w:sz w:val="22"/>
          <w:szCs w:val="22"/>
        </w:rPr>
        <w:t xml:space="preserve">Not a to-do list, but a prioritized set of interventions with context:</w:t>
      </w:r>
    </w:p>
    <w:p>
      <w:pPr>
        <w:pStyle w:val="ListParagraph"/>
        <w:numPr>
          <w:ilvl w:val="0"/>
          <w:numId w:val="2"/>
        </w:numPr>
      </w:pPr>
      <w:r>
        <w:rPr>
          <w:rFonts w:ascii="Arial" w:cs="Arial" w:eastAsia="Arial" w:hAnsi="Arial"/>
          <w:i/>
          <w:iCs/>
          <w:sz w:val="22"/>
          <w:szCs w:val="22"/>
        </w:rPr>
        <w:t xml:space="preserve">"Acme Corp health score dropped 15 points overnight after support ticket #4521. Call recommended before 11am."</w:t>
      </w:r>
    </w:p>
    <w:p>
      <w:pPr>
        <w:pStyle w:val="ListParagraph"/>
        <w:numPr>
          <w:ilvl w:val="0"/>
          <w:numId w:val="2"/>
        </w:numPr>
      </w:pPr>
      <w:r>
        <w:rPr>
          <w:rFonts w:ascii="Arial" w:cs="Arial" w:eastAsia="Arial" w:hAnsi="Arial"/>
          <w:i/>
          <w:iCs/>
          <w:sz w:val="22"/>
          <w:szCs w:val="22"/>
        </w:rPr>
        <w:t xml:space="preserve">"GlobalTech renewal in 28 days, champion went quiet 2 weeks ago. Suggested: send check-in or loop in executive sponsor."</w:t>
      </w:r>
    </w:p>
    <w:p>
      <w:pPr>
        <w:pStyle w:val="Heading2"/>
        <w:spacing w:before="300" w:after="150"/>
      </w:pPr>
      <w:r>
        <w:rPr>
          <w:rFonts w:ascii="Arial" w:cs="Arial" w:eastAsia="Arial" w:hAnsi="Arial"/>
          <w:b/>
          <w:bCs/>
          <w:sz w:val="28"/>
          <w:szCs w:val="28"/>
        </w:rPr>
        <w:t xml:space="preserve">1.2 What Went Well / What Didn't</w:t>
      </w:r>
    </w:p>
    <w:p>
      <w:pPr>
        <w:spacing w:after="120"/>
      </w:pPr>
      <w:r>
        <w:rPr>
          <w:rFonts w:ascii="Arial" w:cs="Arial" w:eastAsia="Arial" w:hAnsi="Arial"/>
          <w:b w:val="false"/>
          <w:bCs w:val="false"/>
          <w:sz w:val="22"/>
          <w:szCs w:val="22"/>
        </w:rPr>
        <w:t xml:space="preserve">Research shows CS leaders need to understand team performance daily, not just in weekly reviews.</w:t>
      </w:r>
    </w:p>
    <w:p>
      <w:pPr>
        <w:pStyle w:val="Heading3"/>
        <w:spacing w:before="200" w:after="100"/>
      </w:pPr>
      <w:r>
        <w:rPr>
          <w:rFonts w:ascii="Arial" w:cs="Arial" w:eastAsia="Arial" w:hAnsi="Arial"/>
          <w:b/>
          <w:bCs/>
          <w:sz w:val="24"/>
          <w:szCs w:val="24"/>
        </w:rPr>
        <w:t xml:space="preserve">Wins</w:t>
      </w:r>
    </w:p>
    <w:p>
      <w:pPr>
        <w:pStyle w:val="ListParagraph"/>
        <w:numPr>
          <w:ilvl w:val="0"/>
          <w:numId w:val="2"/>
        </w:numPr>
      </w:pPr>
      <w:r>
        <w:rPr>
          <w:rFonts w:ascii="Arial" w:cs="Arial" w:eastAsia="Arial" w:hAnsi="Arial"/>
          <w:sz w:val="22"/>
          <w:szCs w:val="22"/>
        </w:rPr>
        <w:t xml:space="preserve">Successful renewals completed with expansion revenue</w:t>
      </w:r>
    </w:p>
    <w:p>
      <w:pPr>
        <w:pStyle w:val="ListParagraph"/>
        <w:numPr>
          <w:ilvl w:val="0"/>
          <w:numId w:val="2"/>
        </w:numPr>
      </w:pPr>
      <w:r>
        <w:rPr>
          <w:rFonts w:ascii="Arial" w:cs="Arial" w:eastAsia="Arial" w:hAnsi="Arial"/>
          <w:sz w:val="22"/>
          <w:szCs w:val="22"/>
        </w:rPr>
        <w:t xml:space="preserve">At-risk accounts recovered (with brief narrative)</w:t>
      </w:r>
    </w:p>
    <w:p>
      <w:pPr>
        <w:pStyle w:val="ListParagraph"/>
        <w:numPr>
          <w:ilvl w:val="0"/>
          <w:numId w:val="2"/>
        </w:numPr>
      </w:pPr>
      <w:r>
        <w:rPr>
          <w:rFonts w:ascii="Arial" w:cs="Arial" w:eastAsia="Arial" w:hAnsi="Arial"/>
          <w:sz w:val="22"/>
          <w:szCs w:val="22"/>
        </w:rPr>
        <w:t xml:space="preserve">Positive customer feedback/testimonials received</w:t>
      </w:r>
    </w:p>
    <w:p>
      <w:pPr>
        <w:pStyle w:val="ListParagraph"/>
        <w:numPr>
          <w:ilvl w:val="0"/>
          <w:numId w:val="2"/>
        </w:numPr>
      </w:pPr>
      <w:r>
        <w:rPr>
          <w:rFonts w:ascii="Arial" w:cs="Arial" w:eastAsia="Arial" w:hAnsi="Arial"/>
          <w:sz w:val="22"/>
          <w:szCs w:val="22"/>
        </w:rPr>
        <w:t xml:space="preserve">Successful QBRs or EBRs completed</w:t>
      </w:r>
    </w:p>
    <w:p>
      <w:pPr>
        <w:pStyle w:val="Heading3"/>
        <w:spacing w:before="200" w:after="100"/>
      </w:pPr>
      <w:r>
        <w:rPr>
          <w:rFonts w:ascii="Arial" w:cs="Arial" w:eastAsia="Arial" w:hAnsi="Arial"/>
          <w:b/>
          <w:bCs/>
          <w:sz w:val="24"/>
          <w:szCs w:val="24"/>
        </w:rPr>
        <w:t xml:space="preserve">Areas of Concern</w:t>
      </w:r>
    </w:p>
    <w:p>
      <w:pPr>
        <w:pStyle w:val="ListParagraph"/>
        <w:numPr>
          <w:ilvl w:val="0"/>
          <w:numId w:val="2"/>
        </w:numPr>
      </w:pPr>
      <w:r>
        <w:rPr>
          <w:rFonts w:ascii="Arial" w:cs="Arial" w:eastAsia="Arial" w:hAnsi="Arial"/>
          <w:sz w:val="22"/>
          <w:szCs w:val="22"/>
        </w:rPr>
        <w:t xml:space="preserve">SLA breaches or response time misses</w:t>
      </w:r>
    </w:p>
    <w:p>
      <w:pPr>
        <w:pStyle w:val="ListParagraph"/>
        <w:numPr>
          <w:ilvl w:val="0"/>
          <w:numId w:val="2"/>
        </w:numPr>
      </w:pPr>
      <w:r>
        <w:rPr>
          <w:rFonts w:ascii="Arial" w:cs="Arial" w:eastAsia="Arial" w:hAnsi="Arial"/>
          <w:sz w:val="22"/>
          <w:szCs w:val="22"/>
        </w:rPr>
        <w:t xml:space="preserve">Escalations that could have been prevented</w:t>
      </w:r>
    </w:p>
    <w:p>
      <w:pPr>
        <w:pStyle w:val="ListParagraph"/>
        <w:numPr>
          <w:ilvl w:val="0"/>
          <w:numId w:val="2"/>
        </w:numPr>
      </w:pPr>
      <w:r>
        <w:rPr>
          <w:rFonts w:ascii="Arial" w:cs="Arial" w:eastAsia="Arial" w:hAnsi="Arial"/>
          <w:sz w:val="22"/>
          <w:szCs w:val="22"/>
        </w:rPr>
        <w:t xml:space="preserve">Process breakdowns identified</w:t>
      </w:r>
    </w:p>
    <w:p>
      <w:pPr>
        <w:pStyle w:val="ListParagraph"/>
        <w:numPr>
          <w:ilvl w:val="0"/>
          <w:numId w:val="2"/>
        </w:numPr>
      </w:pPr>
      <w:r>
        <w:rPr>
          <w:rFonts w:ascii="Arial" w:cs="Arial" w:eastAsia="Arial" w:hAnsi="Arial"/>
          <w:sz w:val="22"/>
          <w:szCs w:val="22"/>
        </w:rPr>
        <w:t xml:space="preserve">Missed touchpoints or stale accounts</w:t>
      </w:r>
    </w:p>
    <w:p>
      <w:r>
        <w:br w:type="page"/>
      </w:r>
    </w:p>
    <w:p>
      <w:pPr>
        <w:pStyle w:val="Heading1"/>
        <w:spacing w:before="400" w:after="200"/>
      </w:pPr>
      <w:r>
        <w:rPr>
          <w:rFonts w:ascii="Arial" w:cs="Arial" w:eastAsia="Arial" w:hAnsi="Arial"/>
          <w:b/>
          <w:bCs/>
          <w:sz w:val="32"/>
          <w:szCs w:val="32"/>
        </w:rPr>
        <w:t xml:space="preserve">2. Customer Intelligence Hub</w:t>
      </w:r>
    </w:p>
    <w:p>
      <w:pPr>
        <w:spacing w:after="120"/>
      </w:pPr>
      <w:r>
        <w:rPr>
          <w:rFonts w:ascii="Arial" w:cs="Arial" w:eastAsia="Arial" w:hAnsi="Arial"/>
          <w:b w:val="false"/>
          <w:bCs w:val="false"/>
          <w:sz w:val="22"/>
          <w:szCs w:val="22"/>
        </w:rPr>
        <w:t xml:space="preserve">Customer success platforms like Gainsight, ChurnZero, and Totango provide health scores, but executives need synthesized intelligence, not raw data. Research from Amplitude and Gainsight emphasizes the importance of health scores with contributing factors visible.</w:t>
      </w:r>
    </w:p>
    <w:p>
      <w:pPr>
        <w:pStyle w:val="Heading2"/>
        <w:spacing w:before="300" w:after="150"/>
      </w:pPr>
      <w:r>
        <w:rPr>
          <w:rFonts w:ascii="Arial" w:cs="Arial" w:eastAsia="Arial" w:hAnsi="Arial"/>
          <w:b/>
          <w:bCs/>
          <w:sz w:val="28"/>
          <w:szCs w:val="28"/>
        </w:rPr>
        <w:t xml:space="preserve">2.1 Account Health Dashboard</w:t>
      </w:r>
    </w:p>
    <w:p>
      <w:pPr>
        <w:pStyle w:val="Heading3"/>
        <w:spacing w:before="200" w:after="100"/>
      </w:pPr>
      <w:r>
        <w:rPr>
          <w:rFonts w:ascii="Arial" w:cs="Arial" w:eastAsia="Arial" w:hAnsi="Arial"/>
          <w:b/>
          <w:bCs/>
          <w:sz w:val="24"/>
          <w:szCs w:val="24"/>
        </w:rPr>
        <w:t xml:space="preserve">2.1.1 Health Score Components</w:t>
      </w:r>
    </w:p>
    <w:p>
      <w:pPr>
        <w:spacing w:after="120"/>
      </w:pPr>
      <w:r>
        <w:rPr>
          <w:rFonts w:ascii="Arial" w:cs="Arial" w:eastAsia="Arial" w:hAnsi="Arial"/>
          <w:b w:val="false"/>
          <w:bCs w:val="false"/>
          <w:sz w:val="22"/>
          <w:szCs w:val="22"/>
        </w:rPr>
        <w:t xml:space="preserve">Radar synthesizes multiple signals into an actionable health view:</w:t>
      </w:r>
    </w:p>
    <w:p>
      <w:pPr>
        <w:pStyle w:val="ListParagraph"/>
        <w:numPr>
          <w:ilvl w:val="0"/>
          <w:numId w:val="2"/>
        </w:numPr>
      </w:pPr>
      <w:r>
        <w:rPr>
          <w:rFonts w:ascii="Arial" w:cs="Arial" w:eastAsia="Arial" w:hAnsi="Arial"/>
          <w:sz w:val="22"/>
          <w:szCs w:val="22"/>
        </w:rPr>
        <w:t xml:space="preserve">Product adoption metrics (DAU/MAU, feature utilization, login frequency)</w:t>
      </w:r>
    </w:p>
    <w:p>
      <w:pPr>
        <w:pStyle w:val="ListParagraph"/>
        <w:numPr>
          <w:ilvl w:val="0"/>
          <w:numId w:val="2"/>
        </w:numPr>
      </w:pPr>
      <w:r>
        <w:rPr>
          <w:rFonts w:ascii="Arial" w:cs="Arial" w:eastAsia="Arial" w:hAnsi="Arial"/>
          <w:sz w:val="22"/>
          <w:szCs w:val="22"/>
        </w:rPr>
        <w:t xml:space="preserve">Engagement quality (meeting attendance, response times, executive involvement)</w:t>
      </w:r>
    </w:p>
    <w:p>
      <w:pPr>
        <w:pStyle w:val="ListParagraph"/>
        <w:numPr>
          <w:ilvl w:val="0"/>
          <w:numId w:val="2"/>
        </w:numPr>
      </w:pPr>
      <w:r>
        <w:rPr>
          <w:rFonts w:ascii="Arial" w:cs="Arial" w:eastAsia="Arial" w:hAnsi="Arial"/>
          <w:sz w:val="22"/>
          <w:szCs w:val="22"/>
        </w:rPr>
        <w:t xml:space="preserve">Support patterns (ticket volume trend, severity distribution, resolution satisfaction)</w:t>
      </w:r>
    </w:p>
    <w:p>
      <w:pPr>
        <w:pStyle w:val="ListParagraph"/>
        <w:numPr>
          <w:ilvl w:val="0"/>
          <w:numId w:val="2"/>
        </w:numPr>
      </w:pPr>
      <w:r>
        <w:rPr>
          <w:rFonts w:ascii="Arial" w:cs="Arial" w:eastAsia="Arial" w:hAnsi="Arial"/>
          <w:sz w:val="22"/>
          <w:szCs w:val="22"/>
        </w:rPr>
        <w:t xml:space="preserve">Sentiment signals (NPS, CSAT, email tone analysis, call sentiment)</w:t>
      </w:r>
    </w:p>
    <w:p>
      <w:pPr>
        <w:pStyle w:val="ListParagraph"/>
        <w:numPr>
          <w:ilvl w:val="0"/>
          <w:numId w:val="2"/>
        </w:numPr>
      </w:pPr>
      <w:r>
        <w:rPr>
          <w:rFonts w:ascii="Arial" w:cs="Arial" w:eastAsia="Arial" w:hAnsi="Arial"/>
          <w:sz w:val="22"/>
          <w:szCs w:val="22"/>
        </w:rPr>
        <w:t xml:space="preserve">Commercial signals (expansion pipeline, renewal likelihood, payment patterns)</w:t>
      </w:r>
    </w:p>
    <w:p>
      <w:pPr>
        <w:pStyle w:val="ListParagraph"/>
        <w:numPr>
          <w:ilvl w:val="0"/>
          <w:numId w:val="2"/>
        </w:numPr>
      </w:pPr>
      <w:r>
        <w:rPr>
          <w:rFonts w:ascii="Arial" w:cs="Arial" w:eastAsia="Arial" w:hAnsi="Arial"/>
          <w:sz w:val="22"/>
          <w:szCs w:val="22"/>
        </w:rPr>
        <w:t xml:space="preserve">Relationship depth (multi-threading score, champion stability, executive alignment)</w:t>
      </w:r>
    </w:p>
    <w:p>
      <w:pPr>
        <w:pStyle w:val="Heading3"/>
        <w:spacing w:before="200" w:after="100"/>
      </w:pPr>
      <w:r>
        <w:rPr>
          <w:rFonts w:ascii="Arial" w:cs="Arial" w:eastAsia="Arial" w:hAnsi="Arial"/>
          <w:b/>
          <w:bCs/>
          <w:sz w:val="24"/>
          <w:szCs w:val="24"/>
        </w:rPr>
        <w:t xml:space="preserve">2.1.2 Risk Stratification</w:t>
      </w:r>
    </w:p>
    <w:p>
      <w:pPr>
        <w:pStyle w:val="ListParagraph"/>
        <w:numPr>
          <w:ilvl w:val="0"/>
          <w:numId w:val="2"/>
        </w:numPr>
      </w:pPr>
      <w:r>
        <w:rPr>
          <w:rFonts w:ascii="Arial" w:cs="Arial" w:eastAsia="Arial" w:hAnsi="Arial"/>
          <w:sz w:val="22"/>
          <w:szCs w:val="22"/>
        </w:rPr>
        <w:t xml:space="preserve">Critical (Red): Immediate intervention required, high churn probability</w:t>
      </w:r>
    </w:p>
    <w:p>
      <w:pPr>
        <w:pStyle w:val="ListParagraph"/>
        <w:numPr>
          <w:ilvl w:val="0"/>
          <w:numId w:val="2"/>
        </w:numPr>
      </w:pPr>
      <w:r>
        <w:rPr>
          <w:rFonts w:ascii="Arial" w:cs="Arial" w:eastAsia="Arial" w:hAnsi="Arial"/>
          <w:sz w:val="22"/>
          <w:szCs w:val="22"/>
        </w:rPr>
        <w:t xml:space="preserve">At-Risk (Yellow): Warning signs present, proactive engagement needed</w:t>
      </w:r>
    </w:p>
    <w:p>
      <w:pPr>
        <w:pStyle w:val="ListParagraph"/>
        <w:numPr>
          <w:ilvl w:val="0"/>
          <w:numId w:val="2"/>
        </w:numPr>
      </w:pPr>
      <w:r>
        <w:rPr>
          <w:rFonts w:ascii="Arial" w:cs="Arial" w:eastAsia="Arial" w:hAnsi="Arial"/>
          <w:sz w:val="22"/>
          <w:szCs w:val="22"/>
        </w:rPr>
        <w:t xml:space="preserve">Healthy (Green): On track, maintain cadence</w:t>
      </w:r>
    </w:p>
    <w:p>
      <w:pPr>
        <w:pStyle w:val="ListParagraph"/>
        <w:numPr>
          <w:ilvl w:val="0"/>
          <w:numId w:val="2"/>
        </w:numPr>
      </w:pPr>
      <w:r>
        <w:rPr>
          <w:rFonts w:ascii="Arial" w:cs="Arial" w:eastAsia="Arial" w:hAnsi="Arial"/>
          <w:sz w:val="22"/>
          <w:szCs w:val="22"/>
        </w:rPr>
        <w:t xml:space="preserve">Growth Opportunity: High expansion potential identified</w:t>
      </w:r>
    </w:p>
    <w:p>
      <w:pPr>
        <w:pStyle w:val="Heading2"/>
        <w:spacing w:before="300" w:after="150"/>
      </w:pPr>
      <w:r>
        <w:rPr>
          <w:rFonts w:ascii="Arial" w:cs="Arial" w:eastAsia="Arial" w:hAnsi="Arial"/>
          <w:b/>
          <w:bCs/>
          <w:sz w:val="28"/>
          <w:szCs w:val="28"/>
        </w:rPr>
        <w:t xml:space="preserve">2.2 Customer Activity Stream</w:t>
      </w:r>
    </w:p>
    <w:p>
      <w:pPr>
        <w:spacing w:after="120"/>
      </w:pPr>
      <w:r>
        <w:rPr>
          <w:rFonts w:ascii="Arial" w:cs="Arial" w:eastAsia="Arial" w:hAnsi="Arial"/>
          <w:b w:val="false"/>
          <w:bCs w:val="false"/>
          <w:sz w:val="22"/>
          <w:szCs w:val="22"/>
        </w:rPr>
        <w:t xml:space="preserve">A filtered, intelligent feed of customer touchpoints. Unlike a raw activity log, Radar highlights meaningful signals:</w:t>
      </w:r>
    </w:p>
    <w:p>
      <w:pPr>
        <w:pStyle w:val="ListParagraph"/>
        <w:numPr>
          <w:ilvl w:val="0"/>
          <w:numId w:val="2"/>
        </w:numPr>
      </w:pPr>
      <w:r>
        <w:rPr>
          <w:rFonts w:ascii="Arial" w:cs="Arial" w:eastAsia="Arial" w:hAnsi="Arial"/>
          <w:sz w:val="22"/>
          <w:szCs w:val="22"/>
        </w:rPr>
        <w:t xml:space="preserve">Executive communications (emails, calls, meetings) with sentiment tagging</w:t>
      </w:r>
    </w:p>
    <w:p>
      <w:pPr>
        <w:pStyle w:val="ListParagraph"/>
        <w:numPr>
          <w:ilvl w:val="0"/>
          <w:numId w:val="2"/>
        </w:numPr>
      </w:pPr>
      <w:r>
        <w:rPr>
          <w:rFonts w:ascii="Arial" w:cs="Arial" w:eastAsia="Arial" w:hAnsi="Arial"/>
          <w:sz w:val="22"/>
          <w:szCs w:val="22"/>
        </w:rPr>
        <w:t xml:space="preserve">Usage milestones (crossed adoption thresholds, new feature activation)</w:t>
      </w:r>
    </w:p>
    <w:p>
      <w:pPr>
        <w:pStyle w:val="ListParagraph"/>
        <w:numPr>
          <w:ilvl w:val="0"/>
          <w:numId w:val="2"/>
        </w:numPr>
      </w:pPr>
      <w:r>
        <w:rPr>
          <w:rFonts w:ascii="Arial" w:cs="Arial" w:eastAsia="Arial" w:hAnsi="Arial"/>
          <w:sz w:val="22"/>
          <w:szCs w:val="22"/>
        </w:rPr>
        <w:t xml:space="preserve">Support interactions with escalation risk assessment</w:t>
      </w:r>
    </w:p>
    <w:p>
      <w:pPr>
        <w:pStyle w:val="ListParagraph"/>
        <w:numPr>
          <w:ilvl w:val="0"/>
          <w:numId w:val="2"/>
        </w:numPr>
      </w:pPr>
      <w:r>
        <w:rPr>
          <w:rFonts w:ascii="Arial" w:cs="Arial" w:eastAsia="Arial" w:hAnsi="Arial"/>
          <w:sz w:val="22"/>
          <w:szCs w:val="22"/>
        </w:rPr>
        <w:t xml:space="preserve">Billing/contract events (payment received, invoice sent, credit applied)</w:t>
      </w:r>
    </w:p>
    <w:p>
      <w:pPr>
        <w:pStyle w:val="ListParagraph"/>
        <w:numPr>
          <w:ilvl w:val="0"/>
          <w:numId w:val="2"/>
        </w:numPr>
      </w:pPr>
      <w:r>
        <w:rPr>
          <w:rFonts w:ascii="Arial" w:cs="Arial" w:eastAsia="Arial" w:hAnsi="Arial"/>
          <w:sz w:val="22"/>
          <w:szCs w:val="22"/>
        </w:rPr>
        <w:t xml:space="preserve">Third-party signals (company news, funding, leadership changes, acquisitions)</w:t>
      </w:r>
    </w:p>
    <w:p>
      <w:pPr>
        <w:pStyle w:val="Heading2"/>
        <w:spacing w:before="300" w:after="150"/>
      </w:pPr>
      <w:r>
        <w:rPr>
          <w:rFonts w:ascii="Arial" w:cs="Arial" w:eastAsia="Arial" w:hAnsi="Arial"/>
          <w:b/>
          <w:bCs/>
          <w:sz w:val="28"/>
          <w:szCs w:val="28"/>
        </w:rPr>
        <w:t xml:space="preserve">2.3 Renewal Pipeline</w:t>
      </w:r>
    </w:p>
    <w:p>
      <w:pPr>
        <w:pStyle w:val="ListParagraph"/>
        <w:numPr>
          <w:ilvl w:val="0"/>
          <w:numId w:val="2"/>
        </w:numPr>
      </w:pPr>
      <w:r>
        <w:rPr>
          <w:rFonts w:ascii="Arial" w:cs="Arial" w:eastAsia="Arial" w:hAnsi="Arial"/>
          <w:sz w:val="22"/>
          <w:szCs w:val="22"/>
        </w:rPr>
        <w:t xml:space="preserve">Calendar visualization of upcoming renewals (30/60/90/180 day horizons)</w:t>
      </w:r>
    </w:p>
    <w:p>
      <w:pPr>
        <w:pStyle w:val="ListParagraph"/>
        <w:numPr>
          <w:ilvl w:val="0"/>
          <w:numId w:val="2"/>
        </w:numPr>
      </w:pPr>
      <w:r>
        <w:rPr>
          <w:rFonts w:ascii="Arial" w:cs="Arial" w:eastAsia="Arial" w:hAnsi="Arial"/>
          <w:sz w:val="22"/>
          <w:szCs w:val="22"/>
        </w:rPr>
        <w:t xml:space="preserve">Renewal likelihood scores with confidence intervals</w:t>
      </w:r>
    </w:p>
    <w:p>
      <w:pPr>
        <w:pStyle w:val="ListParagraph"/>
        <w:numPr>
          <w:ilvl w:val="0"/>
          <w:numId w:val="2"/>
        </w:numPr>
      </w:pPr>
      <w:r>
        <w:rPr>
          <w:rFonts w:ascii="Arial" w:cs="Arial" w:eastAsia="Arial" w:hAnsi="Arial"/>
          <w:sz w:val="22"/>
          <w:szCs w:val="22"/>
        </w:rPr>
        <w:t xml:space="preserve">Expansion opportunities attached to renewals</w:t>
      </w:r>
    </w:p>
    <w:p>
      <w:pPr>
        <w:pStyle w:val="ListParagraph"/>
        <w:numPr>
          <w:ilvl w:val="0"/>
          <w:numId w:val="2"/>
        </w:numPr>
      </w:pPr>
      <w:r>
        <w:rPr>
          <w:rFonts w:ascii="Arial" w:cs="Arial" w:eastAsia="Arial" w:hAnsi="Arial"/>
          <w:sz w:val="22"/>
          <w:szCs w:val="22"/>
        </w:rPr>
        <w:t xml:space="preserve">At-risk renewals requiring executive engagement</w:t>
      </w:r>
    </w:p>
    <w:p>
      <w:pPr>
        <w:pStyle w:val="ListParagraph"/>
        <w:numPr>
          <w:ilvl w:val="0"/>
          <w:numId w:val="2"/>
        </w:numPr>
      </w:pPr>
      <w:r>
        <w:rPr>
          <w:rFonts w:ascii="Arial" w:cs="Arial" w:eastAsia="Arial" w:hAnsi="Arial"/>
          <w:sz w:val="22"/>
          <w:szCs w:val="22"/>
        </w:rPr>
        <w:t xml:space="preserve">Contract terms requiring negotiation or legal review</w:t>
      </w:r>
    </w:p>
    <w:p>
      <w:r>
        <w:br w:type="page"/>
      </w:r>
    </w:p>
    <w:p>
      <w:pPr>
        <w:pStyle w:val="Heading1"/>
        <w:spacing w:before="400" w:after="200"/>
      </w:pPr>
      <w:r>
        <w:rPr>
          <w:rFonts w:ascii="Arial" w:cs="Arial" w:eastAsia="Arial" w:hAnsi="Arial"/>
          <w:b/>
          <w:bCs/>
          <w:sz w:val="32"/>
          <w:szCs w:val="32"/>
        </w:rPr>
        <w:t xml:space="preserve">3. Team Performance Intelligence</w:t>
      </w:r>
    </w:p>
    <w:p>
      <w:pPr>
        <w:spacing w:after="120"/>
      </w:pPr>
      <w:r>
        <w:rPr>
          <w:rFonts w:ascii="Arial" w:cs="Arial" w:eastAsia="Arial" w:hAnsi="Arial"/>
          <w:b w:val="false"/>
          <w:bCs w:val="false"/>
          <w:sz w:val="22"/>
          <w:szCs w:val="22"/>
        </w:rPr>
        <w:t xml:space="preserve">CS leaders need visibility into team performance without micromanaging. Research shows only 7% of companies actively track customer health scores, and many lack clear accountability frameworks.</w:t>
      </w:r>
    </w:p>
    <w:p>
      <w:pPr>
        <w:pStyle w:val="Heading2"/>
        <w:spacing w:before="300" w:after="150"/>
      </w:pPr>
      <w:r>
        <w:rPr>
          <w:rFonts w:ascii="Arial" w:cs="Arial" w:eastAsia="Arial" w:hAnsi="Arial"/>
          <w:b/>
          <w:bCs/>
          <w:sz w:val="28"/>
          <w:szCs w:val="28"/>
        </w:rPr>
        <w:t xml:space="preserve">3.1 CSM Productivity Metrics</w:t>
      </w:r>
    </w:p>
    <w:p>
      <w:pPr>
        <w:pStyle w:val="ListParagraph"/>
        <w:numPr>
          <w:ilvl w:val="0"/>
          <w:numId w:val="2"/>
        </w:numPr>
      </w:pPr>
      <w:r>
        <w:rPr>
          <w:rFonts w:ascii="Arial" w:cs="Arial" w:eastAsia="Arial" w:hAnsi="Arial"/>
          <w:sz w:val="22"/>
          <w:szCs w:val="22"/>
        </w:rPr>
        <w:t xml:space="preserve">Book of business health (aggregate health score for managed accounts)</w:t>
      </w:r>
    </w:p>
    <w:p>
      <w:pPr>
        <w:pStyle w:val="ListParagraph"/>
        <w:numPr>
          <w:ilvl w:val="0"/>
          <w:numId w:val="2"/>
        </w:numPr>
      </w:pPr>
      <w:r>
        <w:rPr>
          <w:rFonts w:ascii="Arial" w:cs="Arial" w:eastAsia="Arial" w:hAnsi="Arial"/>
          <w:sz w:val="22"/>
          <w:szCs w:val="22"/>
        </w:rPr>
        <w:t xml:space="preserve">Activity completion (calls made, QBRs completed, touchpoints logged)</w:t>
      </w:r>
    </w:p>
    <w:p>
      <w:pPr>
        <w:pStyle w:val="ListParagraph"/>
        <w:numPr>
          <w:ilvl w:val="0"/>
          <w:numId w:val="2"/>
        </w:numPr>
      </w:pPr>
      <w:r>
        <w:rPr>
          <w:rFonts w:ascii="Arial" w:cs="Arial" w:eastAsia="Arial" w:hAnsi="Arial"/>
          <w:sz w:val="22"/>
          <w:szCs w:val="22"/>
        </w:rPr>
        <w:t xml:space="preserve">Response times (customer email/ticket response SLA adherence)</w:t>
      </w:r>
    </w:p>
    <w:p>
      <w:pPr>
        <w:pStyle w:val="ListParagraph"/>
        <w:numPr>
          <w:ilvl w:val="0"/>
          <w:numId w:val="2"/>
        </w:numPr>
      </w:pPr>
      <w:r>
        <w:rPr>
          <w:rFonts w:ascii="Arial" w:cs="Arial" w:eastAsia="Arial" w:hAnsi="Arial"/>
          <w:sz w:val="22"/>
          <w:szCs w:val="22"/>
        </w:rPr>
        <w:t xml:space="preserve">Playbook execution (adoption of prescribed workflows)</w:t>
      </w:r>
    </w:p>
    <w:p>
      <w:pPr>
        <w:pStyle w:val="ListParagraph"/>
        <w:numPr>
          <w:ilvl w:val="0"/>
          <w:numId w:val="2"/>
        </w:numPr>
      </w:pPr>
      <w:r>
        <w:rPr>
          <w:rFonts w:ascii="Arial" w:cs="Arial" w:eastAsia="Arial" w:hAnsi="Arial"/>
          <w:sz w:val="22"/>
          <w:szCs w:val="22"/>
        </w:rPr>
        <w:t xml:space="preserve">Expansion pipeline contribution</w:t>
      </w:r>
    </w:p>
    <w:p>
      <w:pPr>
        <w:pStyle w:val="Heading2"/>
        <w:spacing w:before="300" w:after="150"/>
      </w:pPr>
      <w:r>
        <w:rPr>
          <w:rFonts w:ascii="Arial" w:cs="Arial" w:eastAsia="Arial" w:hAnsi="Arial"/>
          <w:b/>
          <w:bCs/>
          <w:sz w:val="28"/>
          <w:szCs w:val="28"/>
        </w:rPr>
        <w:t xml:space="preserve">3.2 Team Highlights &amp; Concerns</w:t>
      </w:r>
    </w:p>
    <w:p>
      <w:pPr>
        <w:pStyle w:val="Heading3"/>
        <w:spacing w:before="200" w:after="100"/>
      </w:pPr>
      <w:r>
        <w:rPr>
          <w:rFonts w:ascii="Arial" w:cs="Arial" w:eastAsia="Arial" w:hAnsi="Arial"/>
          <w:b/>
          <w:bCs/>
          <w:sz w:val="24"/>
          <w:szCs w:val="24"/>
        </w:rPr>
        <w:t xml:space="preserve">Recognition-Worthy</w:t>
      </w:r>
    </w:p>
    <w:p>
      <w:pPr>
        <w:pStyle w:val="ListParagraph"/>
        <w:numPr>
          <w:ilvl w:val="0"/>
          <w:numId w:val="2"/>
        </w:numPr>
      </w:pPr>
      <w:r>
        <w:rPr>
          <w:rFonts w:ascii="Arial" w:cs="Arial" w:eastAsia="Arial" w:hAnsi="Arial"/>
          <w:sz w:val="22"/>
          <w:szCs w:val="22"/>
        </w:rPr>
        <w:t xml:space="preserve">Top performers by outcome metrics (saves, expansions, NPS improvement)</w:t>
      </w:r>
    </w:p>
    <w:p>
      <w:pPr>
        <w:pStyle w:val="ListParagraph"/>
        <w:numPr>
          <w:ilvl w:val="0"/>
          <w:numId w:val="2"/>
        </w:numPr>
      </w:pPr>
      <w:r>
        <w:rPr>
          <w:rFonts w:ascii="Arial" w:cs="Arial" w:eastAsia="Arial" w:hAnsi="Arial"/>
          <w:sz w:val="22"/>
          <w:szCs w:val="22"/>
        </w:rPr>
        <w:t xml:space="preserve">Notable wins with brief context for team sharing</w:t>
      </w:r>
    </w:p>
    <w:p>
      <w:pPr>
        <w:pStyle w:val="ListParagraph"/>
        <w:numPr>
          <w:ilvl w:val="0"/>
          <w:numId w:val="2"/>
        </w:numPr>
      </w:pPr>
      <w:r>
        <w:rPr>
          <w:rFonts w:ascii="Arial" w:cs="Arial" w:eastAsia="Arial" w:hAnsi="Arial"/>
          <w:sz w:val="22"/>
          <w:szCs w:val="22"/>
        </w:rPr>
        <w:t xml:space="preserve">Process improvements or innovations from the team</w:t>
      </w:r>
    </w:p>
    <w:p>
      <w:pPr>
        <w:pStyle w:val="Heading3"/>
        <w:spacing w:before="200" w:after="100"/>
      </w:pPr>
      <w:r>
        <w:rPr>
          <w:rFonts w:ascii="Arial" w:cs="Arial" w:eastAsia="Arial" w:hAnsi="Arial"/>
          <w:b/>
          <w:bCs/>
          <w:sz w:val="24"/>
          <w:szCs w:val="24"/>
        </w:rPr>
        <w:t xml:space="preserve">Coaching Opportunities</w:t>
      </w:r>
    </w:p>
    <w:p>
      <w:pPr>
        <w:pStyle w:val="ListParagraph"/>
        <w:numPr>
          <w:ilvl w:val="0"/>
          <w:numId w:val="2"/>
        </w:numPr>
      </w:pPr>
      <w:r>
        <w:rPr>
          <w:rFonts w:ascii="Arial" w:cs="Arial" w:eastAsia="Arial" w:hAnsi="Arial"/>
          <w:sz w:val="22"/>
          <w:szCs w:val="22"/>
        </w:rPr>
        <w:t xml:space="preserve">CSMs with declining account health trends</w:t>
      </w:r>
    </w:p>
    <w:p>
      <w:pPr>
        <w:pStyle w:val="ListParagraph"/>
        <w:numPr>
          <w:ilvl w:val="0"/>
          <w:numId w:val="2"/>
        </w:numPr>
      </w:pPr>
      <w:r>
        <w:rPr>
          <w:rFonts w:ascii="Arial" w:cs="Arial" w:eastAsia="Arial" w:hAnsi="Arial"/>
          <w:sz w:val="22"/>
          <w:szCs w:val="22"/>
        </w:rPr>
        <w:t xml:space="preserve">Accounts falling through the cracks (stale, no recent activity)</w:t>
      </w:r>
    </w:p>
    <w:p>
      <w:pPr>
        <w:pStyle w:val="ListParagraph"/>
        <w:numPr>
          <w:ilvl w:val="0"/>
          <w:numId w:val="2"/>
        </w:numPr>
      </w:pPr>
      <w:r>
        <w:rPr>
          <w:rFonts w:ascii="Arial" w:cs="Arial" w:eastAsia="Arial" w:hAnsi="Arial"/>
          <w:sz w:val="22"/>
          <w:szCs w:val="22"/>
        </w:rPr>
        <w:t xml:space="preserve">Workload imbalances requiring reallocation</w:t>
      </w:r>
    </w:p>
    <w:p>
      <w:pPr>
        <w:pStyle w:val="Heading2"/>
        <w:spacing w:before="300" w:after="150"/>
      </w:pPr>
      <w:r>
        <w:rPr>
          <w:rFonts w:ascii="Arial" w:cs="Arial" w:eastAsia="Arial" w:hAnsi="Arial"/>
          <w:b/>
          <w:bCs/>
          <w:sz w:val="28"/>
          <w:szCs w:val="28"/>
        </w:rPr>
        <w:t xml:space="preserve">3.3 Capacity &amp; Coverage</w:t>
      </w:r>
    </w:p>
    <w:p>
      <w:pPr>
        <w:pStyle w:val="ListParagraph"/>
        <w:numPr>
          <w:ilvl w:val="0"/>
          <w:numId w:val="2"/>
        </w:numPr>
      </w:pPr>
      <w:r>
        <w:rPr>
          <w:rFonts w:ascii="Arial" w:cs="Arial" w:eastAsia="Arial" w:hAnsi="Arial"/>
          <w:sz w:val="22"/>
          <w:szCs w:val="22"/>
        </w:rPr>
        <w:t xml:space="preserve">Book of business by CSM (ARR managed, account count, complexity score)</w:t>
      </w:r>
    </w:p>
    <w:p>
      <w:pPr>
        <w:pStyle w:val="ListParagraph"/>
        <w:numPr>
          <w:ilvl w:val="0"/>
          <w:numId w:val="2"/>
        </w:numPr>
      </w:pPr>
      <w:r>
        <w:rPr>
          <w:rFonts w:ascii="Arial" w:cs="Arial" w:eastAsia="Arial" w:hAnsi="Arial"/>
          <w:sz w:val="22"/>
          <w:szCs w:val="22"/>
        </w:rPr>
        <w:t xml:space="preserve">Coverage gaps (accounts without recent touchpoint)</w:t>
      </w:r>
    </w:p>
    <w:p>
      <w:pPr>
        <w:pStyle w:val="ListParagraph"/>
        <w:numPr>
          <w:ilvl w:val="0"/>
          <w:numId w:val="2"/>
        </w:numPr>
      </w:pPr>
      <w:r>
        <w:rPr>
          <w:rFonts w:ascii="Arial" w:cs="Arial" w:eastAsia="Arial" w:hAnsi="Arial"/>
          <w:sz w:val="22"/>
          <w:szCs w:val="22"/>
        </w:rPr>
        <w:t xml:space="preserve">PTO/availability impacts on upcoming renewals</w:t>
      </w:r>
    </w:p>
    <w:p>
      <w:pPr>
        <w:pStyle w:val="ListParagraph"/>
        <w:numPr>
          <w:ilvl w:val="0"/>
          <w:numId w:val="2"/>
        </w:numPr>
      </w:pPr>
      <w:r>
        <w:rPr>
          <w:rFonts w:ascii="Arial" w:cs="Arial" w:eastAsia="Arial" w:hAnsi="Arial"/>
          <w:sz w:val="22"/>
          <w:szCs w:val="22"/>
        </w:rPr>
        <w:t xml:space="preserve">Onboarding queue status (new customers awaiting kickoff)</w:t>
      </w:r>
    </w:p>
    <w:p>
      <w:r>
        <w:br w:type="page"/>
      </w:r>
    </w:p>
    <w:p>
      <w:pPr>
        <w:pStyle w:val="Heading1"/>
        <w:spacing w:before="400" w:after="200"/>
      </w:pPr>
      <w:r>
        <w:rPr>
          <w:rFonts w:ascii="Arial" w:cs="Arial" w:eastAsia="Arial" w:hAnsi="Arial"/>
          <w:b/>
          <w:bCs/>
          <w:sz w:val="32"/>
          <w:szCs w:val="32"/>
        </w:rPr>
        <w:t xml:space="preserve">4. External Intelligence</w:t>
      </w:r>
    </w:p>
    <w:p>
      <w:pPr>
        <w:spacing w:after="120"/>
      </w:pPr>
      <w:r>
        <w:rPr>
          <w:rFonts w:ascii="Arial" w:cs="Arial" w:eastAsia="Arial" w:hAnsi="Arial"/>
          <w:b w:val="false"/>
          <w:bCs w:val="false"/>
          <w:sz w:val="22"/>
          <w:szCs w:val="22"/>
        </w:rPr>
        <w:t xml:space="preserve">Customer success doesn't happen in a vacuum. Executives need awareness of market context, competitive dynamics, and customer business health to have strategic conversations.</w:t>
      </w:r>
    </w:p>
    <w:p>
      <w:pPr>
        <w:pStyle w:val="Heading2"/>
        <w:spacing w:before="300" w:after="150"/>
      </w:pPr>
      <w:r>
        <w:rPr>
          <w:rFonts w:ascii="Arial" w:cs="Arial" w:eastAsia="Arial" w:hAnsi="Arial"/>
          <w:b/>
          <w:bCs/>
          <w:sz w:val="28"/>
          <w:szCs w:val="28"/>
        </w:rPr>
        <w:t xml:space="preserve">4.1 Industry &amp; Market Updates</w:t>
      </w:r>
    </w:p>
    <w:p>
      <w:pPr>
        <w:pStyle w:val="ListParagraph"/>
        <w:numPr>
          <w:ilvl w:val="0"/>
          <w:numId w:val="2"/>
        </w:numPr>
      </w:pPr>
      <w:r>
        <w:rPr>
          <w:rFonts w:ascii="Arial" w:cs="Arial" w:eastAsia="Arial" w:hAnsi="Arial"/>
          <w:sz w:val="22"/>
          <w:szCs w:val="22"/>
        </w:rPr>
        <w:t xml:space="preserve">Regulatory changes affecting customers' industries</w:t>
      </w:r>
    </w:p>
    <w:p>
      <w:pPr>
        <w:pStyle w:val="ListParagraph"/>
        <w:numPr>
          <w:ilvl w:val="0"/>
          <w:numId w:val="2"/>
        </w:numPr>
      </w:pPr>
      <w:r>
        <w:rPr>
          <w:rFonts w:ascii="Arial" w:cs="Arial" w:eastAsia="Arial" w:hAnsi="Arial"/>
          <w:sz w:val="22"/>
          <w:szCs w:val="22"/>
        </w:rPr>
        <w:t xml:space="preserve">Economic indicators relevant to customer base (layoff trends, funding climate)</w:t>
      </w:r>
    </w:p>
    <w:p>
      <w:pPr>
        <w:pStyle w:val="ListParagraph"/>
        <w:numPr>
          <w:ilvl w:val="0"/>
          <w:numId w:val="2"/>
        </w:numPr>
      </w:pPr>
      <w:r>
        <w:rPr>
          <w:rFonts w:ascii="Arial" w:cs="Arial" w:eastAsia="Arial" w:hAnsi="Arial"/>
          <w:sz w:val="22"/>
          <w:szCs w:val="22"/>
        </w:rPr>
        <w:t xml:space="preserve">Technology trends impacting adoption patterns</w:t>
      </w:r>
    </w:p>
    <w:p>
      <w:pPr>
        <w:pStyle w:val="ListParagraph"/>
        <w:numPr>
          <w:ilvl w:val="0"/>
          <w:numId w:val="2"/>
        </w:numPr>
      </w:pPr>
      <w:r>
        <w:rPr>
          <w:rFonts w:ascii="Arial" w:cs="Arial" w:eastAsia="Arial" w:hAnsi="Arial"/>
          <w:sz w:val="22"/>
          <w:szCs w:val="22"/>
        </w:rPr>
        <w:t xml:space="preserve">Industry events and conferences relevant to strategic accounts</w:t>
      </w:r>
    </w:p>
    <w:p>
      <w:pPr>
        <w:pStyle w:val="Heading2"/>
        <w:spacing w:before="300" w:after="150"/>
      </w:pPr>
      <w:r>
        <w:rPr>
          <w:rFonts w:ascii="Arial" w:cs="Arial" w:eastAsia="Arial" w:hAnsi="Arial"/>
          <w:b/>
          <w:bCs/>
          <w:sz w:val="28"/>
          <w:szCs w:val="28"/>
        </w:rPr>
        <w:t xml:space="preserve">4.2 Competitive Intelligence</w:t>
      </w:r>
    </w:p>
    <w:p>
      <w:pPr>
        <w:pStyle w:val="ListParagraph"/>
        <w:numPr>
          <w:ilvl w:val="0"/>
          <w:numId w:val="2"/>
        </w:numPr>
      </w:pPr>
      <w:r>
        <w:rPr>
          <w:rFonts w:ascii="Arial" w:cs="Arial" w:eastAsia="Arial" w:hAnsi="Arial"/>
          <w:sz w:val="22"/>
          <w:szCs w:val="22"/>
        </w:rPr>
        <w:t xml:space="preserve">Competitor announcements (product releases, pricing changes)</w:t>
      </w:r>
    </w:p>
    <w:p>
      <w:pPr>
        <w:pStyle w:val="ListParagraph"/>
        <w:numPr>
          <w:ilvl w:val="0"/>
          <w:numId w:val="2"/>
        </w:numPr>
      </w:pPr>
      <w:r>
        <w:rPr>
          <w:rFonts w:ascii="Arial" w:cs="Arial" w:eastAsia="Arial" w:hAnsi="Arial"/>
          <w:sz w:val="22"/>
          <w:szCs w:val="22"/>
        </w:rPr>
        <w:t xml:space="preserve">Win/loss signals (mentions in customer conversations)</w:t>
      </w:r>
    </w:p>
    <w:p>
      <w:pPr>
        <w:pStyle w:val="ListParagraph"/>
        <w:numPr>
          <w:ilvl w:val="0"/>
          <w:numId w:val="2"/>
        </w:numPr>
      </w:pPr>
      <w:r>
        <w:rPr>
          <w:rFonts w:ascii="Arial" w:cs="Arial" w:eastAsia="Arial" w:hAnsi="Arial"/>
          <w:sz w:val="22"/>
          <w:szCs w:val="22"/>
        </w:rPr>
        <w:t xml:space="preserve">Market positioning shifts requiring counter-narrative</w:t>
      </w:r>
    </w:p>
    <w:p>
      <w:pPr>
        <w:pStyle w:val="ListParagraph"/>
        <w:numPr>
          <w:ilvl w:val="0"/>
          <w:numId w:val="2"/>
        </w:numPr>
      </w:pPr>
      <w:r>
        <w:rPr>
          <w:rFonts w:ascii="Arial" w:cs="Arial" w:eastAsia="Arial" w:hAnsi="Arial"/>
          <w:sz w:val="22"/>
          <w:szCs w:val="22"/>
        </w:rPr>
        <w:t xml:space="preserve">Customer comparison requests or RFP activity</w:t>
      </w:r>
    </w:p>
    <w:p>
      <w:pPr>
        <w:pStyle w:val="Heading2"/>
        <w:spacing w:before="300" w:after="150"/>
      </w:pPr>
      <w:r>
        <w:rPr>
          <w:rFonts w:ascii="Arial" w:cs="Arial" w:eastAsia="Arial" w:hAnsi="Arial"/>
          <w:b/>
          <w:bCs/>
          <w:sz w:val="28"/>
          <w:szCs w:val="28"/>
        </w:rPr>
        <w:t xml:space="preserve">4.3 Customer Business Intelligence</w:t>
      </w:r>
    </w:p>
    <w:p>
      <w:pPr>
        <w:spacing w:after="120"/>
      </w:pPr>
      <w:r>
        <w:rPr>
          <w:rFonts w:ascii="Arial" w:cs="Arial" w:eastAsia="Arial" w:hAnsi="Arial"/>
          <w:b w:val="false"/>
          <w:bCs w:val="false"/>
          <w:sz w:val="22"/>
          <w:szCs w:val="22"/>
        </w:rPr>
        <w:t xml:space="preserve">For strategic accounts, Radar monitors external signals:</w:t>
      </w:r>
    </w:p>
    <w:p>
      <w:pPr>
        <w:pStyle w:val="ListParagraph"/>
        <w:numPr>
          <w:ilvl w:val="0"/>
          <w:numId w:val="2"/>
        </w:numPr>
      </w:pPr>
      <w:r>
        <w:rPr>
          <w:rFonts w:ascii="Arial" w:cs="Arial" w:eastAsia="Arial" w:hAnsi="Arial"/>
          <w:sz w:val="22"/>
          <w:szCs w:val="22"/>
        </w:rPr>
        <w:t xml:space="preserve">Press releases and news mentions</w:t>
      </w:r>
    </w:p>
    <w:p>
      <w:pPr>
        <w:pStyle w:val="ListParagraph"/>
        <w:numPr>
          <w:ilvl w:val="0"/>
          <w:numId w:val="2"/>
        </w:numPr>
      </w:pPr>
      <w:r>
        <w:rPr>
          <w:rFonts w:ascii="Arial" w:cs="Arial" w:eastAsia="Arial" w:hAnsi="Arial"/>
          <w:sz w:val="22"/>
          <w:szCs w:val="22"/>
        </w:rPr>
        <w:t xml:space="preserve">Leadership changes (new hires, departures)</w:t>
      </w:r>
    </w:p>
    <w:p>
      <w:pPr>
        <w:pStyle w:val="ListParagraph"/>
        <w:numPr>
          <w:ilvl w:val="0"/>
          <w:numId w:val="2"/>
        </w:numPr>
      </w:pPr>
      <w:r>
        <w:rPr>
          <w:rFonts w:ascii="Arial" w:cs="Arial" w:eastAsia="Arial" w:hAnsi="Arial"/>
          <w:sz w:val="22"/>
          <w:szCs w:val="22"/>
        </w:rPr>
        <w:t xml:space="preserve">Funding rounds or M&amp;A activity</w:t>
      </w:r>
    </w:p>
    <w:p>
      <w:pPr>
        <w:pStyle w:val="ListParagraph"/>
        <w:numPr>
          <w:ilvl w:val="0"/>
          <w:numId w:val="2"/>
        </w:numPr>
      </w:pPr>
      <w:r>
        <w:rPr>
          <w:rFonts w:ascii="Arial" w:cs="Arial" w:eastAsia="Arial" w:hAnsi="Arial"/>
          <w:sz w:val="22"/>
          <w:szCs w:val="22"/>
        </w:rPr>
        <w:t xml:space="preserve">Job postings (hiring velocity, new initiatives)</w:t>
      </w:r>
    </w:p>
    <w:p>
      <w:pPr>
        <w:pStyle w:val="ListParagraph"/>
        <w:numPr>
          <w:ilvl w:val="0"/>
          <w:numId w:val="2"/>
        </w:numPr>
      </w:pPr>
      <w:r>
        <w:rPr>
          <w:rFonts w:ascii="Arial" w:cs="Arial" w:eastAsia="Arial" w:hAnsi="Arial"/>
          <w:sz w:val="22"/>
          <w:szCs w:val="22"/>
        </w:rPr>
        <w:t xml:space="preserve">Earnings calls and financial filings (public companies)</w:t>
      </w:r>
    </w:p>
    <w:p>
      <w:r>
        <w:br w:type="page"/>
      </w:r>
    </w:p>
    <w:p>
      <w:pPr>
        <w:pStyle w:val="Heading1"/>
        <w:spacing w:before="400" w:after="200"/>
      </w:pPr>
      <w:r>
        <w:rPr>
          <w:rFonts w:ascii="Arial" w:cs="Arial" w:eastAsia="Arial" w:hAnsi="Arial"/>
          <w:b/>
          <w:bCs/>
          <w:sz w:val="32"/>
          <w:szCs w:val="32"/>
        </w:rPr>
        <w:t xml:space="preserve">5. Research Insights: What Works &amp; What Fails</w:t>
      </w:r>
    </w:p>
    <w:p>
      <w:pPr>
        <w:spacing w:after="120"/>
      </w:pPr>
      <w:r>
        <w:rPr>
          <w:rFonts w:ascii="Arial" w:cs="Arial" w:eastAsia="Arial" w:hAnsi="Arial"/>
          <w:b w:val="false"/>
          <w:bCs w:val="false"/>
          <w:sz w:val="22"/>
          <w:szCs w:val="22"/>
        </w:rPr>
        <w:t xml:space="preserve">This section synthesizes current research on executive AI agents and CS dashboards to inform Radar's design.</w:t>
      </w:r>
    </w:p>
    <w:p>
      <w:pPr>
        <w:pStyle w:val="Heading2"/>
        <w:spacing w:before="300" w:after="150"/>
      </w:pPr>
      <w:r>
        <w:rPr>
          <w:rFonts w:ascii="Arial" w:cs="Arial" w:eastAsia="Arial" w:hAnsi="Arial"/>
          <w:b/>
          <w:bCs/>
          <w:sz w:val="28"/>
          <w:szCs w:val="28"/>
        </w:rPr>
        <w:t xml:space="preserve">5.1 Why Dashboards Fail</w:t>
      </w:r>
    </w:p>
    <w:p>
      <w:pPr>
        <w:spacing w:after="120"/>
      </w:pPr>
      <w:r>
        <w:rPr>
          <w:rFonts w:ascii="Arial" w:cs="Arial" w:eastAsia="Arial" w:hAnsi="Arial"/>
          <w:i/>
          <w:iCs/>
          <w:sz w:val="22"/>
          <w:szCs w:val="22"/>
        </w:rPr>
        <w:t xml:space="preserve">Based on analysis of Zencos, Gainsight, and enterprise dashboard research (2024-2025):</w:t>
      </w:r>
    </w:p>
    <w:p>
      <w:pPr>
        <w:pStyle w:val="ListParagraph"/>
        <w:numPr>
          <w:ilvl w:val="0"/>
          <w:numId w:val="3"/>
        </w:numPr>
        <w:spacing w:after="80"/>
      </w:pPr>
      <w:r>
        <w:rPr>
          <w:rFonts w:ascii="Arial" w:cs="Arial" w:eastAsia="Arial" w:hAnsi="Arial"/>
          <w:b/>
          <w:bCs/>
          <w:sz w:val="22"/>
          <w:szCs w:val="22"/>
        </w:rPr>
        <w:t xml:space="preserve">Built to show data, not support decisions</w:t>
      </w:r>
    </w:p>
    <w:p>
      <w:pPr>
        <w:pStyle w:val="ListParagraph"/>
        <w:numPr>
          <w:ilvl w:val="1"/>
          <w:numId w:val="2"/>
        </w:numPr>
      </w:pPr>
      <w:r>
        <w:rPr>
          <w:rFonts w:ascii="Arial" w:cs="Arial" w:eastAsia="Arial" w:hAnsi="Arial"/>
          <w:sz w:val="22"/>
          <w:szCs w:val="22"/>
        </w:rPr>
        <w:t xml:space="preserve">Executives ask for spreadsheets because dashboards don't answer "what should I do?"</w:t>
      </w:r>
    </w:p>
    <w:p>
      <w:pPr>
        <w:pStyle w:val="ListParagraph"/>
        <w:numPr>
          <w:ilvl w:val="1"/>
          <w:numId w:val="2"/>
        </w:numPr>
      </w:pPr>
      <w:r>
        <w:rPr>
          <w:rFonts w:ascii="Arial" w:cs="Arial" w:eastAsia="Arial" w:hAnsi="Arial"/>
          <w:sz w:val="22"/>
          <w:szCs w:val="22"/>
        </w:rPr>
        <w:t xml:space="preserve">Raw metrics without context ("100 tickets" vs. "95% met 4-hour SLA")</w:t>
      </w:r>
    </w:p>
    <w:p>
      <w:pPr>
        <w:pStyle w:val="ListParagraph"/>
        <w:numPr>
          <w:ilvl w:val="0"/>
          <w:numId w:val="3"/>
        </w:numPr>
        <w:spacing w:after="80" w:before="100"/>
      </w:pPr>
      <w:r>
        <w:rPr>
          <w:rFonts w:ascii="Arial" w:cs="Arial" w:eastAsia="Arial" w:hAnsi="Arial"/>
          <w:b/>
          <w:bCs/>
          <w:sz w:val="22"/>
          <w:szCs w:val="22"/>
        </w:rPr>
        <w:t xml:space="preserve">Trust erosion from data quality issues</w:t>
      </w:r>
    </w:p>
    <w:p>
      <w:pPr>
        <w:pStyle w:val="ListParagraph"/>
        <w:numPr>
          <w:ilvl w:val="1"/>
          <w:numId w:val="2"/>
        </w:numPr>
      </w:pPr>
      <w:r>
        <w:rPr>
          <w:rFonts w:ascii="Arial" w:cs="Arial" w:eastAsia="Arial" w:hAnsi="Arial"/>
          <w:sz w:val="22"/>
          <w:szCs w:val="22"/>
        </w:rPr>
        <w:t xml:space="preserve">Users who know reality is different than displayed will ignore dashboards</w:t>
      </w:r>
    </w:p>
    <w:p>
      <w:pPr>
        <w:pStyle w:val="ListParagraph"/>
        <w:numPr>
          <w:ilvl w:val="1"/>
          <w:numId w:val="2"/>
        </w:numPr>
      </w:pPr>
      <w:r>
        <w:rPr>
          <w:rFonts w:ascii="Arial" w:cs="Arial" w:eastAsia="Arial" w:hAnsi="Arial"/>
          <w:sz w:val="22"/>
          <w:szCs w:val="22"/>
        </w:rPr>
        <w:t xml:space="preserve">Stale data from infrequent updates creates distrust</w:t>
      </w:r>
    </w:p>
    <w:p>
      <w:pPr>
        <w:pStyle w:val="ListParagraph"/>
        <w:numPr>
          <w:ilvl w:val="0"/>
          <w:numId w:val="3"/>
        </w:numPr>
        <w:spacing w:after="80" w:before="100"/>
      </w:pPr>
      <w:r>
        <w:rPr>
          <w:rFonts w:ascii="Arial" w:cs="Arial" w:eastAsia="Arial" w:hAnsi="Arial"/>
          <w:b/>
          <w:bCs/>
          <w:sz w:val="22"/>
          <w:szCs w:val="22"/>
        </w:rPr>
        <w:t xml:space="preserve">Overloaded with metrics</w:t>
      </w:r>
    </w:p>
    <w:p>
      <w:pPr>
        <w:pStyle w:val="ListParagraph"/>
        <w:numPr>
          <w:ilvl w:val="1"/>
          <w:numId w:val="2"/>
        </w:numPr>
      </w:pPr>
      <w:r>
        <w:rPr>
          <w:rFonts w:ascii="Arial" w:cs="Arial" w:eastAsia="Arial" w:hAnsi="Arial"/>
          <w:sz w:val="22"/>
          <w:szCs w:val="22"/>
        </w:rPr>
        <w:t xml:space="preserve">Too many KPIs overwhelm users; research suggests 5-7 key metrics maximum for executive views</w:t>
      </w:r>
    </w:p>
    <w:p>
      <w:pPr>
        <w:pStyle w:val="ListParagraph"/>
        <w:numPr>
          <w:ilvl w:val="1"/>
          <w:numId w:val="2"/>
        </w:numPr>
      </w:pPr>
      <w:r>
        <w:rPr>
          <w:rFonts w:ascii="Arial" w:cs="Arial" w:eastAsia="Arial" w:hAnsi="Arial"/>
          <w:sz w:val="22"/>
          <w:szCs w:val="22"/>
        </w:rPr>
        <w:t xml:space="preserve">Confusing layouts without logical grouping</w:t>
      </w:r>
    </w:p>
    <w:p>
      <w:pPr>
        <w:pStyle w:val="ListParagraph"/>
        <w:numPr>
          <w:ilvl w:val="0"/>
          <w:numId w:val="3"/>
        </w:numPr>
        <w:spacing w:after="80" w:before="100"/>
      </w:pPr>
      <w:r>
        <w:rPr>
          <w:rFonts w:ascii="Arial" w:cs="Arial" w:eastAsia="Arial" w:hAnsi="Arial"/>
          <w:b/>
          <w:bCs/>
          <w:sz w:val="22"/>
          <w:szCs w:val="22"/>
        </w:rPr>
        <w:t xml:space="preserve">No clear escalation path</w:t>
      </w:r>
    </w:p>
    <w:p>
      <w:pPr>
        <w:pStyle w:val="ListParagraph"/>
        <w:numPr>
          <w:ilvl w:val="1"/>
          <w:numId w:val="2"/>
        </w:numPr>
      </w:pPr>
      <w:r>
        <w:rPr>
          <w:rFonts w:ascii="Arial" w:cs="Arial" w:eastAsia="Arial" w:hAnsi="Arial"/>
          <w:sz w:val="22"/>
          <w:szCs w:val="22"/>
        </w:rPr>
        <w:t xml:space="preserve">Leaders see a red metric but don't know how to drill down or who to contact</w:t>
      </w:r>
    </w:p>
    <w:p>
      <w:pPr>
        <w:pStyle w:val="ListParagraph"/>
        <w:numPr>
          <w:ilvl w:val="1"/>
          <w:numId w:val="2"/>
        </w:numPr>
      </w:pPr>
      <w:r>
        <w:rPr>
          <w:rFonts w:ascii="Arial" w:cs="Arial" w:eastAsia="Arial" w:hAnsi="Arial"/>
          <w:sz w:val="22"/>
          <w:szCs w:val="22"/>
        </w:rPr>
        <w:t xml:space="preserve">Missing threshold alerts mean problems aren't surfaced proactively</w:t>
      </w:r>
    </w:p>
    <w:p>
      <w:pPr>
        <w:pStyle w:val="Heading2"/>
        <w:spacing w:before="300" w:after="150"/>
      </w:pPr>
      <w:r>
        <w:rPr>
          <w:rFonts w:ascii="Arial" w:cs="Arial" w:eastAsia="Arial" w:hAnsi="Arial"/>
          <w:b/>
          <w:bCs/>
          <w:sz w:val="28"/>
          <w:szCs w:val="28"/>
        </w:rPr>
        <w:t xml:space="preserve">5.2 Why AI Agents Fail</w:t>
      </w:r>
    </w:p>
    <w:p>
      <w:pPr>
        <w:spacing w:after="120"/>
      </w:pPr>
      <w:r>
        <w:rPr>
          <w:rFonts w:ascii="Arial" w:cs="Arial" w:eastAsia="Arial" w:hAnsi="Arial"/>
          <w:i/>
          <w:iCs/>
          <w:sz w:val="22"/>
          <w:szCs w:val="22"/>
        </w:rPr>
        <w:t xml:space="preserve">Based on Gartner, Deloitte, and industry analysis (2025):</w:t>
      </w:r>
    </w:p>
    <w:p>
      <w:pPr>
        <w:pStyle w:val="ListParagraph"/>
        <w:numPr>
          <w:ilvl w:val="0"/>
          <w:numId w:val="3"/>
        </w:numPr>
        <w:spacing w:after="80"/>
      </w:pPr>
      <w:r>
        <w:rPr>
          <w:rFonts w:ascii="Arial" w:cs="Arial" w:eastAsia="Arial" w:hAnsi="Arial"/>
          <w:b/>
          <w:bCs/>
          <w:sz w:val="22"/>
          <w:szCs w:val="22"/>
        </w:rPr>
        <w:t xml:space="preserve">Overpromising autonomy</w:t>
      </w:r>
    </w:p>
    <w:p>
      <w:pPr>
        <w:pStyle w:val="ListParagraph"/>
        <w:numPr>
          <w:ilvl w:val="1"/>
          <w:numId w:val="2"/>
        </w:numPr>
      </w:pPr>
      <w:r>
        <w:rPr>
          <w:rFonts w:ascii="Arial" w:cs="Arial" w:eastAsia="Arial" w:hAnsi="Arial"/>
          <w:sz w:val="22"/>
          <w:szCs w:val="22"/>
        </w:rPr>
        <w:t xml:space="preserve">Gartner predicts 40%+ of agentic AI projects will be canceled by 2027</w:t>
      </w:r>
    </w:p>
    <w:p>
      <w:pPr>
        <w:pStyle w:val="ListParagraph"/>
        <w:numPr>
          <w:ilvl w:val="1"/>
          <w:numId w:val="2"/>
        </w:numPr>
      </w:pPr>
      <w:r>
        <w:rPr>
          <w:rFonts w:ascii="Arial" w:cs="Arial" w:eastAsia="Arial" w:hAnsi="Arial"/>
          <w:sz w:val="22"/>
          <w:szCs w:val="22"/>
        </w:rPr>
        <w:t xml:space="preserve">Users don't trust AI to act without confirmation ("psychological, not technical")</w:t>
      </w:r>
    </w:p>
    <w:p>
      <w:pPr>
        <w:pStyle w:val="ListParagraph"/>
        <w:numPr>
          <w:ilvl w:val="1"/>
          <w:numId w:val="2"/>
        </w:numPr>
      </w:pPr>
      <w:r>
        <w:rPr>
          <w:rFonts w:ascii="Arial" w:cs="Arial" w:eastAsia="Arial" w:hAnsi="Arial"/>
          <w:sz w:val="22"/>
          <w:szCs w:val="22"/>
        </w:rPr>
        <w:t xml:space="preserve">"Agent washing"—rebranding chatbots as agents—erodes credibility</w:t>
      </w:r>
    </w:p>
    <w:p>
      <w:pPr>
        <w:pStyle w:val="ListParagraph"/>
        <w:numPr>
          <w:ilvl w:val="0"/>
          <w:numId w:val="3"/>
        </w:numPr>
        <w:spacing w:after="80" w:before="100"/>
      </w:pPr>
      <w:r>
        <w:rPr>
          <w:rFonts w:ascii="Arial" w:cs="Arial" w:eastAsia="Arial" w:hAnsi="Arial"/>
          <w:b/>
          <w:bCs/>
          <w:sz w:val="22"/>
          <w:szCs w:val="22"/>
        </w:rPr>
        <w:t xml:space="preserve">Data architecture constraints</w:t>
      </w:r>
    </w:p>
    <w:p>
      <w:pPr>
        <w:pStyle w:val="ListParagraph"/>
        <w:numPr>
          <w:ilvl w:val="1"/>
          <w:numId w:val="2"/>
        </w:numPr>
      </w:pPr>
      <w:r>
        <w:rPr>
          <w:rFonts w:ascii="Arial" w:cs="Arial" w:eastAsia="Arial" w:hAnsi="Arial"/>
          <w:sz w:val="22"/>
          <w:szCs w:val="22"/>
        </w:rPr>
        <w:t xml:space="preserve">48% cite data searchability, 47% cite data reusability as top challenges (Deloitte 2025)</w:t>
      </w:r>
    </w:p>
    <w:p>
      <w:pPr>
        <w:pStyle w:val="ListParagraph"/>
        <w:numPr>
          <w:ilvl w:val="1"/>
          <w:numId w:val="2"/>
        </w:numPr>
      </w:pPr>
      <w:r>
        <w:rPr>
          <w:rFonts w:ascii="Arial" w:cs="Arial" w:eastAsia="Arial" w:hAnsi="Arial"/>
          <w:sz w:val="22"/>
          <w:szCs w:val="22"/>
        </w:rPr>
        <w:t xml:space="preserve">Legacy systems lack real-time APIs needed for agent integration</w:t>
      </w:r>
    </w:p>
    <w:p>
      <w:pPr>
        <w:pStyle w:val="ListParagraph"/>
        <w:numPr>
          <w:ilvl w:val="0"/>
          <w:numId w:val="3"/>
        </w:numPr>
        <w:spacing w:after="80" w:before="100"/>
      </w:pPr>
      <w:r>
        <w:rPr>
          <w:rFonts w:ascii="Arial" w:cs="Arial" w:eastAsia="Arial" w:hAnsi="Arial"/>
          <w:b/>
          <w:bCs/>
          <w:sz w:val="22"/>
          <w:szCs w:val="22"/>
        </w:rPr>
        <w:t xml:space="preserve">Context fragmentation</w:t>
      </w:r>
    </w:p>
    <w:p>
      <w:pPr>
        <w:pStyle w:val="ListParagraph"/>
        <w:numPr>
          <w:ilvl w:val="1"/>
          <w:numId w:val="2"/>
        </w:numPr>
      </w:pPr>
      <w:r>
        <w:rPr>
          <w:rFonts w:ascii="Arial" w:cs="Arial" w:eastAsia="Arial" w:hAnsi="Arial"/>
          <w:sz w:val="22"/>
          <w:szCs w:val="22"/>
        </w:rPr>
        <w:t xml:space="preserve">Agents can't understand meaning across system boundaries</w:t>
      </w:r>
    </w:p>
    <w:p>
      <w:pPr>
        <w:pStyle w:val="ListParagraph"/>
        <w:numPr>
          <w:ilvl w:val="1"/>
          <w:numId w:val="2"/>
        </w:numPr>
      </w:pPr>
      <w:r>
        <w:rPr>
          <w:rFonts w:ascii="Arial" w:cs="Arial" w:eastAsia="Arial" w:hAnsi="Arial"/>
          <w:sz w:val="22"/>
          <w:szCs w:val="22"/>
        </w:rPr>
        <w:t xml:space="preserve">State management across sessions remains unsolved</w:t>
      </w:r>
    </w:p>
    <w:p>
      <w:pPr>
        <w:pStyle w:val="ListParagraph"/>
        <w:numPr>
          <w:ilvl w:val="0"/>
          <w:numId w:val="3"/>
        </w:numPr>
        <w:spacing w:after="80" w:before="100"/>
      </w:pPr>
      <w:r>
        <w:rPr>
          <w:rFonts w:ascii="Arial" w:cs="Arial" w:eastAsia="Arial" w:hAnsi="Arial"/>
          <w:b/>
          <w:bCs/>
          <w:sz w:val="22"/>
          <w:szCs w:val="22"/>
        </w:rPr>
        <w:t xml:space="preserve">Governance gaps</w:t>
      </w:r>
    </w:p>
    <w:p>
      <w:pPr>
        <w:pStyle w:val="ListParagraph"/>
        <w:numPr>
          <w:ilvl w:val="1"/>
          <w:numId w:val="2"/>
        </w:numPr>
      </w:pPr>
      <w:r>
        <w:rPr>
          <w:rFonts w:ascii="Arial" w:cs="Arial" w:eastAsia="Arial" w:hAnsi="Arial"/>
          <w:sz w:val="22"/>
          <w:szCs w:val="22"/>
        </w:rPr>
        <w:t xml:space="preserve">Enterprises demand audit trails and explainable decisions</w:t>
      </w:r>
    </w:p>
    <w:p>
      <w:pPr>
        <w:pStyle w:val="ListParagraph"/>
        <w:numPr>
          <w:ilvl w:val="1"/>
          <w:numId w:val="2"/>
        </w:numPr>
      </w:pPr>
      <w:r>
        <w:rPr>
          <w:rFonts w:ascii="Arial" w:cs="Arial" w:eastAsia="Arial" w:hAnsi="Arial"/>
          <w:sz w:val="22"/>
          <w:szCs w:val="22"/>
        </w:rPr>
        <w:t xml:space="preserve">"Black box" assistants losing favor to transparent, audit-ready AI</w:t>
      </w:r>
    </w:p>
    <w:p>
      <w:pPr>
        <w:pStyle w:val="Heading2"/>
        <w:spacing w:before="300" w:after="150"/>
      </w:pPr>
      <w:r>
        <w:rPr>
          <w:rFonts w:ascii="Arial" w:cs="Arial" w:eastAsia="Arial" w:hAnsi="Arial"/>
          <w:b/>
          <w:bCs/>
          <w:sz w:val="28"/>
          <w:szCs w:val="28"/>
        </w:rPr>
        <w:t xml:space="preserve">5.3 What Works</w:t>
      </w:r>
    </w:p>
    <w:p>
      <w:pPr>
        <w:spacing w:after="120"/>
      </w:pPr>
      <w:r>
        <w:rPr>
          <w:rFonts w:ascii="Arial" w:cs="Arial" w:eastAsia="Arial" w:hAnsi="Arial"/>
          <w:i/>
          <w:iCs/>
          <w:sz w:val="22"/>
          <w:szCs w:val="22"/>
        </w:rPr>
        <w:t xml:space="preserve">Success patterns from research:</w:t>
      </w:r>
    </w:p>
    <w:p>
      <w:pPr>
        <w:pStyle w:val="ListParagraph"/>
        <w:numPr>
          <w:ilvl w:val="0"/>
          <w:numId w:val="3"/>
        </w:numPr>
        <w:spacing w:after="80"/>
      </w:pPr>
      <w:r>
        <w:rPr>
          <w:rFonts w:ascii="Arial" w:cs="Arial" w:eastAsia="Arial" w:hAnsi="Arial"/>
          <w:b/>
          <w:bCs/>
          <w:sz w:val="22"/>
          <w:szCs w:val="22"/>
        </w:rPr>
        <w:t xml:space="preserve">Start with unambiguous business pain</w:t>
      </w:r>
    </w:p>
    <w:p>
      <w:pPr>
        <w:pStyle w:val="ListParagraph"/>
        <w:numPr>
          <w:ilvl w:val="1"/>
          <w:numId w:val="2"/>
        </w:numPr>
      </w:pPr>
      <w:r>
        <w:rPr>
          <w:rFonts w:ascii="Arial" w:cs="Arial" w:eastAsia="Arial" w:hAnsi="Arial"/>
          <w:sz w:val="22"/>
          <w:szCs w:val="22"/>
        </w:rPr>
        <w:t xml:space="preserve">Success stories (Air India, Lumen) begin with specific, measurable problems</w:t>
      </w:r>
    </w:p>
    <w:p>
      <w:pPr>
        <w:pStyle w:val="ListParagraph"/>
        <w:numPr>
          <w:ilvl w:val="1"/>
          <w:numId w:val="2"/>
        </w:numPr>
      </w:pPr>
      <w:r>
        <w:rPr>
          <w:rFonts w:ascii="Arial" w:cs="Arial" w:eastAsia="Arial" w:hAnsi="Arial"/>
          <w:sz w:val="22"/>
          <w:szCs w:val="22"/>
        </w:rPr>
        <w:t xml:space="preserve">Define the non-AI alternative cost before building</w:t>
      </w:r>
    </w:p>
    <w:p>
      <w:pPr>
        <w:pStyle w:val="ListParagraph"/>
        <w:numPr>
          <w:ilvl w:val="0"/>
          <w:numId w:val="3"/>
        </w:numPr>
        <w:spacing w:after="80" w:before="100"/>
      </w:pPr>
      <w:r>
        <w:rPr>
          <w:rFonts w:ascii="Arial" w:cs="Arial" w:eastAsia="Arial" w:hAnsi="Arial"/>
          <w:b/>
          <w:bCs/>
          <w:sz w:val="22"/>
          <w:szCs w:val="22"/>
        </w:rPr>
        <w:t xml:space="preserve">Narrow agents &gt; monolithic assistants</w:t>
      </w:r>
    </w:p>
    <w:p>
      <w:pPr>
        <w:pStyle w:val="ListParagraph"/>
        <w:numPr>
          <w:ilvl w:val="1"/>
          <w:numId w:val="2"/>
        </w:numPr>
      </w:pPr>
      <w:r>
        <w:rPr>
          <w:rFonts w:ascii="Arial" w:cs="Arial" w:eastAsia="Arial" w:hAnsi="Arial"/>
          <w:sz w:val="22"/>
          <w:szCs w:val="22"/>
        </w:rPr>
        <w:t xml:space="preserve">Otto (travel AI) coordinates multiple specialized agents, not one general-purpose model</w:t>
      </w:r>
    </w:p>
    <w:p>
      <w:pPr>
        <w:pStyle w:val="ListParagraph"/>
        <w:numPr>
          <w:ilvl w:val="1"/>
          <w:numId w:val="2"/>
        </w:numPr>
      </w:pPr>
      <w:r>
        <w:rPr>
          <w:rFonts w:ascii="Arial" w:cs="Arial" w:eastAsia="Arial" w:hAnsi="Arial"/>
          <w:sz w:val="22"/>
          <w:szCs w:val="22"/>
        </w:rPr>
        <w:t xml:space="preserve">Domain specialization enables higher accuracy and trust</w:t>
      </w:r>
    </w:p>
    <w:p>
      <w:pPr>
        <w:pStyle w:val="ListParagraph"/>
        <w:numPr>
          <w:ilvl w:val="0"/>
          <w:numId w:val="3"/>
        </w:numPr>
        <w:spacing w:after="80" w:before="100"/>
      </w:pPr>
      <w:r>
        <w:rPr>
          <w:rFonts w:ascii="Arial" w:cs="Arial" w:eastAsia="Arial" w:hAnsi="Arial"/>
          <w:b/>
          <w:bCs/>
          <w:sz w:val="22"/>
          <w:szCs w:val="22"/>
        </w:rPr>
        <w:t xml:space="preserve">Human oversight as feature, not emergency valve</w:t>
      </w:r>
    </w:p>
    <w:p>
      <w:pPr>
        <w:pStyle w:val="ListParagraph"/>
        <w:numPr>
          <w:ilvl w:val="1"/>
          <w:numId w:val="2"/>
        </w:numPr>
      </w:pPr>
      <w:r>
        <w:rPr>
          <w:rFonts w:ascii="Arial" w:cs="Arial" w:eastAsia="Arial" w:hAnsi="Arial"/>
          <w:sz w:val="22"/>
          <w:szCs w:val="22"/>
        </w:rPr>
        <w:t xml:space="preserve">Confirm before executing actions, especially high-stakes decisions</w:t>
      </w:r>
    </w:p>
    <w:p>
      <w:pPr>
        <w:pStyle w:val="ListParagraph"/>
        <w:numPr>
          <w:ilvl w:val="1"/>
          <w:numId w:val="2"/>
        </w:numPr>
      </w:pPr>
      <w:r>
        <w:rPr>
          <w:rFonts w:ascii="Arial" w:cs="Arial" w:eastAsia="Arial" w:hAnsi="Arial"/>
          <w:sz w:val="22"/>
          <w:szCs w:val="22"/>
        </w:rPr>
        <w:t xml:space="preserve">Clear escalation paths when confidence is low</w:t>
      </w:r>
    </w:p>
    <w:p>
      <w:pPr>
        <w:pStyle w:val="ListParagraph"/>
        <w:numPr>
          <w:ilvl w:val="0"/>
          <w:numId w:val="3"/>
        </w:numPr>
        <w:spacing w:after="80" w:before="100"/>
      </w:pPr>
      <w:r>
        <w:rPr>
          <w:rFonts w:ascii="Arial" w:cs="Arial" w:eastAsia="Arial" w:hAnsi="Arial"/>
          <w:b/>
          <w:bCs/>
          <w:sz w:val="22"/>
          <w:szCs w:val="22"/>
        </w:rPr>
        <w:t xml:space="preserve">Decision-support, not data-display</w:t>
      </w:r>
    </w:p>
    <w:p>
      <w:pPr>
        <w:pStyle w:val="ListParagraph"/>
        <w:numPr>
          <w:ilvl w:val="1"/>
          <w:numId w:val="2"/>
        </w:numPr>
      </w:pPr>
      <w:r>
        <w:rPr>
          <w:rFonts w:ascii="Arial" w:cs="Arial" w:eastAsia="Arial" w:hAnsi="Arial"/>
          <w:sz w:val="22"/>
          <w:szCs w:val="22"/>
        </w:rPr>
        <w:t xml:space="preserve">Successful dashboards include clear thresholds, alerts, and drill-down paths</w:t>
      </w:r>
    </w:p>
    <w:p>
      <w:pPr>
        <w:pStyle w:val="ListParagraph"/>
        <w:numPr>
          <w:ilvl w:val="1"/>
          <w:numId w:val="2"/>
        </w:numPr>
      </w:pPr>
      <w:r>
        <w:rPr>
          <w:rFonts w:ascii="Arial" w:cs="Arial" w:eastAsia="Arial" w:hAnsi="Arial"/>
          <w:sz w:val="22"/>
          <w:szCs w:val="22"/>
        </w:rPr>
        <w:t xml:space="preserve">Red/amber/green visual indicators guide attention immediately</w:t>
      </w:r>
    </w:p>
    <w:p>
      <w:pPr>
        <w:pStyle w:val="ListParagraph"/>
        <w:numPr>
          <w:ilvl w:val="1"/>
          <w:numId w:val="2"/>
        </w:numPr>
      </w:pPr>
      <w:r>
        <w:rPr>
          <w:rFonts w:ascii="Arial" w:cs="Arial" w:eastAsia="Arial" w:hAnsi="Arial"/>
          <w:sz w:val="22"/>
          <w:szCs w:val="22"/>
        </w:rPr>
        <w:t xml:space="preserve">Near-real-time updates (daily minimum for CS)</w:t>
      </w:r>
    </w:p>
    <w:p>
      <w:r>
        <w:br w:type="page"/>
      </w:r>
    </w:p>
    <w:p>
      <w:pPr>
        <w:pStyle w:val="Heading1"/>
        <w:spacing w:before="400" w:after="200"/>
      </w:pPr>
      <w:r>
        <w:rPr>
          <w:rFonts w:ascii="Arial" w:cs="Arial" w:eastAsia="Arial" w:hAnsi="Arial"/>
          <w:b/>
          <w:bCs/>
          <w:sz w:val="32"/>
          <w:szCs w:val="32"/>
        </w:rPr>
        <w:t xml:space="preserve">6. Radar Design Principles</w:t>
      </w:r>
    </w:p>
    <w:p>
      <w:pPr>
        <w:spacing w:after="120"/>
      </w:pPr>
      <w:r>
        <w:rPr>
          <w:rFonts w:ascii="Arial" w:cs="Arial" w:eastAsia="Arial" w:hAnsi="Arial"/>
          <w:b w:val="false"/>
          <w:bCs w:val="false"/>
          <w:sz w:val="22"/>
          <w:szCs w:val="22"/>
        </w:rPr>
        <w:t xml:space="preserve">Based on the research, these principles should guide Radar's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Principle</w:t>
            </w:r>
          </w:p>
        </w:tc>
        <w:tc>
          <w:tcPr>
            <w:tcW w:type="dxa" w:w="6860"/>
            <w:tcBorders>
              <w:top w:val="single" w:color="CCCCCC" w:sz="1"/>
              <w:left w:val="single" w:color="CCCCCC" w:sz="1"/>
              <w:bottom w:val="single" w:color="CCCCCC" w:sz="1"/>
              <w:right w:val="single" w:color="CCCCCC" w:sz="1"/>
            </w:tcBorders>
            <w:shd w:fill="1E3A5F"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Anticipatory</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Surface issues before they're asked about; don't wait for queries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Actionable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Every insight includes a suggested action and path to execute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Trustworthy</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Source all data, explain reasoning, enable drill-down verification</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Confirmatory</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Recommend, don't execute; get confirmation for high-stakes actions</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Focused</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5-7 key metrics; ruthlessly prioritize signal over noise</w:t>
            </w:r>
          </w:p>
        </w:tc>
      </w:tr>
      <w:tr>
        <w:tc>
          <w:tcPr>
            <w:tcW w:type="dxa" w:w="25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b/>
                <w:bCs/>
                <w:sz w:val="22"/>
                <w:szCs w:val="22"/>
              </w:rPr>
              <w:t xml:space="preserve">Learnable</w:t>
            </w:r>
          </w:p>
        </w:tc>
        <w:tc>
          <w:tcPr>
            <w:tcW w:type="dxa" w:w="68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rFonts w:ascii="Arial" w:cs="Arial" w:eastAsia="Arial" w:hAnsi="Arial"/>
                <w:sz w:val="22"/>
                <w:szCs w:val="22"/>
              </w:rPr>
              <w:t xml:space="preserve">Adapt to user patterns; improve recommendations based on feedback</w:t>
            </w:r>
          </w:p>
        </w:tc>
      </w:tr>
    </w:tbl>
    <w:p>
      <w:r>
        <w:br w:type="page"/>
      </w:r>
    </w:p>
    <w:p>
      <w:pPr>
        <w:pStyle w:val="Heading1"/>
        <w:spacing w:before="400" w:after="200"/>
      </w:pPr>
      <w:r>
        <w:rPr>
          <w:rFonts w:ascii="Arial" w:cs="Arial" w:eastAsia="Arial" w:hAnsi="Arial"/>
          <w:b/>
          <w:bCs/>
          <w:sz w:val="32"/>
          <w:szCs w:val="32"/>
        </w:rPr>
        <w:t xml:space="preserve">7. Integration Architecture</w:t>
      </w:r>
    </w:p>
    <w:p>
      <w:pPr>
        <w:spacing w:after="120"/>
      </w:pPr>
      <w:r>
        <w:rPr>
          <w:rFonts w:ascii="Arial" w:cs="Arial" w:eastAsia="Arial" w:hAnsi="Arial"/>
          <w:b w:val="false"/>
          <w:bCs w:val="false"/>
          <w:sz w:val="22"/>
          <w:szCs w:val="22"/>
        </w:rPr>
        <w:t xml:space="preserve">Radar requires integration with multiple systems to deliver value. This is the "plumbing problem" that research identifies as the true bottleneck.</w:t>
      </w:r>
    </w:p>
    <w:p>
      <w:pPr>
        <w:pStyle w:val="Heading2"/>
        <w:spacing w:before="300" w:after="150"/>
      </w:pPr>
      <w:r>
        <w:rPr>
          <w:rFonts w:ascii="Arial" w:cs="Arial" w:eastAsia="Arial" w:hAnsi="Arial"/>
          <w:b/>
          <w:bCs/>
          <w:sz w:val="28"/>
          <w:szCs w:val="28"/>
        </w:rPr>
        <w:t xml:space="preserve">7.1 Required Integrations</w:t>
      </w:r>
    </w:p>
    <w:p>
      <w:pPr>
        <w:pStyle w:val="Heading3"/>
        <w:spacing w:before="200" w:after="100"/>
      </w:pPr>
      <w:r>
        <w:rPr>
          <w:rFonts w:ascii="Arial" w:cs="Arial" w:eastAsia="Arial" w:hAnsi="Arial"/>
          <w:b/>
          <w:bCs/>
          <w:sz w:val="24"/>
          <w:szCs w:val="24"/>
        </w:rPr>
        <w:t xml:space="preserve">Core CS Platform</w:t>
      </w:r>
    </w:p>
    <w:p>
      <w:pPr>
        <w:pStyle w:val="ListParagraph"/>
        <w:numPr>
          <w:ilvl w:val="0"/>
          <w:numId w:val="2"/>
        </w:numPr>
      </w:pPr>
      <w:r>
        <w:rPr>
          <w:rFonts w:ascii="Arial" w:cs="Arial" w:eastAsia="Arial" w:hAnsi="Arial"/>
          <w:sz w:val="22"/>
          <w:szCs w:val="22"/>
        </w:rPr>
        <w:t xml:space="preserve">Gainsight, ChurnZero, Totango, or equivalent (health scores, CTAs, playbooks)</w:t>
      </w:r>
    </w:p>
    <w:p>
      <w:pPr>
        <w:pStyle w:val="Heading3"/>
        <w:spacing w:before="200" w:after="100"/>
      </w:pPr>
      <w:r>
        <w:rPr>
          <w:rFonts w:ascii="Arial" w:cs="Arial" w:eastAsia="Arial" w:hAnsi="Arial"/>
          <w:b/>
          <w:bCs/>
          <w:sz w:val="24"/>
          <w:szCs w:val="24"/>
        </w:rPr>
        <w:t xml:space="preserve">CRM</w:t>
      </w:r>
    </w:p>
    <w:p>
      <w:pPr>
        <w:pStyle w:val="ListParagraph"/>
        <w:numPr>
          <w:ilvl w:val="0"/>
          <w:numId w:val="2"/>
        </w:numPr>
      </w:pPr>
      <w:r>
        <w:rPr>
          <w:rFonts w:ascii="Arial" w:cs="Arial" w:eastAsia="Arial" w:hAnsi="Arial"/>
          <w:sz w:val="22"/>
          <w:szCs w:val="22"/>
        </w:rPr>
        <w:t xml:space="preserve">Salesforce, HubSpot (account data, opportunity pipeline, contacts)</w:t>
      </w:r>
    </w:p>
    <w:p>
      <w:pPr>
        <w:pStyle w:val="Heading3"/>
        <w:spacing w:before="200" w:after="100"/>
      </w:pPr>
      <w:r>
        <w:rPr>
          <w:rFonts w:ascii="Arial" w:cs="Arial" w:eastAsia="Arial" w:hAnsi="Arial"/>
          <w:b/>
          <w:bCs/>
          <w:sz w:val="24"/>
          <w:szCs w:val="24"/>
        </w:rPr>
        <w:t xml:space="preserve">Support</w:t>
      </w:r>
    </w:p>
    <w:p>
      <w:pPr>
        <w:pStyle w:val="ListParagraph"/>
        <w:numPr>
          <w:ilvl w:val="0"/>
          <w:numId w:val="2"/>
        </w:numPr>
      </w:pPr>
      <w:r>
        <w:rPr>
          <w:rFonts w:ascii="Arial" w:cs="Arial" w:eastAsia="Arial" w:hAnsi="Arial"/>
          <w:sz w:val="22"/>
          <w:szCs w:val="22"/>
        </w:rPr>
        <w:t xml:space="preserve">Zendesk, Intercom, Freshdesk (ticket data, resolution metrics)</w:t>
      </w:r>
    </w:p>
    <w:p>
      <w:pPr>
        <w:pStyle w:val="Heading3"/>
        <w:spacing w:before="200" w:after="100"/>
      </w:pPr>
      <w:r>
        <w:rPr>
          <w:rFonts w:ascii="Arial" w:cs="Arial" w:eastAsia="Arial" w:hAnsi="Arial"/>
          <w:b/>
          <w:bCs/>
          <w:sz w:val="24"/>
          <w:szCs w:val="24"/>
        </w:rPr>
        <w:t xml:space="preserve">Communication</w:t>
      </w:r>
    </w:p>
    <w:p>
      <w:pPr>
        <w:pStyle w:val="ListParagraph"/>
        <w:numPr>
          <w:ilvl w:val="0"/>
          <w:numId w:val="2"/>
        </w:numPr>
      </w:pPr>
      <w:r>
        <w:rPr>
          <w:rFonts w:ascii="Arial" w:cs="Arial" w:eastAsia="Arial" w:hAnsi="Arial"/>
          <w:sz w:val="22"/>
          <w:szCs w:val="22"/>
        </w:rPr>
        <w:t xml:space="preserve">Email (Gmail, Outlook), Slack, Teams for activity capture</w:t>
      </w:r>
    </w:p>
    <w:p>
      <w:pPr>
        <w:pStyle w:val="Heading3"/>
        <w:spacing w:before="200" w:after="100"/>
      </w:pPr>
      <w:r>
        <w:rPr>
          <w:rFonts w:ascii="Arial" w:cs="Arial" w:eastAsia="Arial" w:hAnsi="Arial"/>
          <w:b/>
          <w:bCs/>
          <w:sz w:val="24"/>
          <w:szCs w:val="24"/>
        </w:rPr>
        <w:t xml:space="preserve">Product Analytics</w:t>
      </w:r>
    </w:p>
    <w:p>
      <w:pPr>
        <w:pStyle w:val="ListParagraph"/>
        <w:numPr>
          <w:ilvl w:val="0"/>
          <w:numId w:val="2"/>
        </w:numPr>
      </w:pPr>
      <w:r>
        <w:rPr>
          <w:rFonts w:ascii="Arial" w:cs="Arial" w:eastAsia="Arial" w:hAnsi="Arial"/>
          <w:sz w:val="22"/>
          <w:szCs w:val="22"/>
        </w:rPr>
        <w:t xml:space="preserve">Amplitude, Mixpanel, Pendo, Heap (usage data, feature adoption)</w:t>
      </w:r>
    </w:p>
    <w:p>
      <w:pPr>
        <w:pStyle w:val="Heading3"/>
        <w:spacing w:before="200" w:after="100"/>
      </w:pPr>
      <w:r>
        <w:rPr>
          <w:rFonts w:ascii="Arial" w:cs="Arial" w:eastAsia="Arial" w:hAnsi="Arial"/>
          <w:b/>
          <w:bCs/>
          <w:sz w:val="24"/>
          <w:szCs w:val="24"/>
        </w:rPr>
        <w:t xml:space="preserve">External Intelligence</w:t>
      </w:r>
    </w:p>
    <w:p>
      <w:pPr>
        <w:pStyle w:val="ListParagraph"/>
        <w:numPr>
          <w:ilvl w:val="0"/>
          <w:numId w:val="2"/>
        </w:numPr>
      </w:pPr>
      <w:r>
        <w:rPr>
          <w:rFonts w:ascii="Arial" w:cs="Arial" w:eastAsia="Arial" w:hAnsi="Arial"/>
          <w:sz w:val="22"/>
          <w:szCs w:val="22"/>
        </w:rPr>
        <w:t xml:space="preserve">LinkedIn Sales Navigator, ZoomInfo, news APIs</w:t>
      </w:r>
    </w:p>
    <w:p>
      <w:pPr>
        <w:pStyle w:val="Heading2"/>
        <w:spacing w:before="300" w:after="150"/>
      </w:pPr>
      <w:r>
        <w:rPr>
          <w:rFonts w:ascii="Arial" w:cs="Arial" w:eastAsia="Arial" w:hAnsi="Arial"/>
          <w:b/>
          <w:bCs/>
          <w:sz w:val="28"/>
          <w:szCs w:val="28"/>
        </w:rPr>
        <w:t xml:space="preserve">7.2 Data Architecture Considerations</w:t>
      </w:r>
    </w:p>
    <w:p>
      <w:pPr>
        <w:pStyle w:val="ListParagraph"/>
        <w:numPr>
          <w:ilvl w:val="0"/>
          <w:numId w:val="2"/>
        </w:numPr>
      </w:pPr>
      <w:r>
        <w:rPr>
          <w:rFonts w:ascii="Arial" w:cs="Arial" w:eastAsia="Arial" w:hAnsi="Arial"/>
          <w:sz w:val="22"/>
          <w:szCs w:val="22"/>
        </w:rPr>
        <w:t xml:space="preserve">Real-time or near-real-time data sync required for morning brief accuracy</w:t>
      </w:r>
    </w:p>
    <w:p>
      <w:pPr>
        <w:pStyle w:val="ListParagraph"/>
        <w:numPr>
          <w:ilvl w:val="0"/>
          <w:numId w:val="2"/>
        </w:numPr>
      </w:pPr>
      <w:r>
        <w:rPr>
          <w:rFonts w:ascii="Arial" w:cs="Arial" w:eastAsia="Arial" w:hAnsi="Arial"/>
          <w:sz w:val="22"/>
          <w:szCs w:val="22"/>
        </w:rPr>
        <w:t xml:space="preserve">Unified customer identifier across systems (matching logic required)</w:t>
      </w:r>
    </w:p>
    <w:p>
      <w:pPr>
        <w:pStyle w:val="ListParagraph"/>
        <w:numPr>
          <w:ilvl w:val="0"/>
          <w:numId w:val="2"/>
        </w:numPr>
      </w:pPr>
      <w:r>
        <w:rPr>
          <w:rFonts w:ascii="Arial" w:cs="Arial" w:eastAsia="Arial" w:hAnsi="Arial"/>
          <w:sz w:val="22"/>
          <w:szCs w:val="22"/>
        </w:rPr>
        <w:t xml:space="preserve">Historical data for trend analysis (minimum 90 days recommended)</w:t>
      </w:r>
    </w:p>
    <w:p>
      <w:pPr>
        <w:pStyle w:val="ListParagraph"/>
        <w:numPr>
          <w:ilvl w:val="0"/>
          <w:numId w:val="2"/>
        </w:numPr>
      </w:pPr>
      <w:r>
        <w:rPr>
          <w:rFonts w:ascii="Arial" w:cs="Arial" w:eastAsia="Arial" w:hAnsi="Arial"/>
          <w:sz w:val="22"/>
          <w:szCs w:val="22"/>
        </w:rPr>
        <w:t xml:space="preserve">Audit logging for all AI recommendations and user actions</w:t>
      </w:r>
    </w:p>
    <w:p>
      <w:r>
        <w:br w:type="page"/>
      </w:r>
    </w:p>
    <w:p>
      <w:pPr>
        <w:pStyle w:val="Heading1"/>
        <w:spacing w:before="400" w:after="200"/>
      </w:pPr>
      <w:r>
        <w:rPr>
          <w:rFonts w:ascii="Arial" w:cs="Arial" w:eastAsia="Arial" w:hAnsi="Arial"/>
          <w:b/>
          <w:bCs/>
          <w:sz w:val="32"/>
          <w:szCs w:val="32"/>
        </w:rPr>
        <w:t xml:space="preserve">8. Success Metrics for Radar</w:t>
      </w:r>
    </w:p>
    <w:p>
      <w:pPr>
        <w:spacing w:after="120"/>
      </w:pPr>
      <w:r>
        <w:rPr>
          <w:rFonts w:ascii="Arial" w:cs="Arial" w:eastAsia="Arial" w:hAnsi="Arial"/>
          <w:b w:val="false"/>
          <w:bCs w:val="false"/>
          <w:sz w:val="22"/>
          <w:szCs w:val="22"/>
        </w:rPr>
        <w:t xml:space="preserve">How do we measure whether Radar delivers value?</w:t>
      </w:r>
    </w:p>
    <w:p>
      <w:pPr>
        <w:pStyle w:val="Heading2"/>
        <w:spacing w:before="300" w:after="150"/>
      </w:pPr>
      <w:r>
        <w:rPr>
          <w:rFonts w:ascii="Arial" w:cs="Arial" w:eastAsia="Arial" w:hAnsi="Arial"/>
          <w:b/>
          <w:bCs/>
          <w:sz w:val="28"/>
          <w:szCs w:val="28"/>
        </w:rPr>
        <w:t xml:space="preserve">8.1 Adoption Metrics</w:t>
      </w:r>
    </w:p>
    <w:p>
      <w:pPr>
        <w:pStyle w:val="ListParagraph"/>
        <w:numPr>
          <w:ilvl w:val="0"/>
          <w:numId w:val="2"/>
        </w:numPr>
      </w:pPr>
      <w:r>
        <w:rPr>
          <w:rFonts w:ascii="Arial" w:cs="Arial" w:eastAsia="Arial" w:hAnsi="Arial"/>
          <w:sz w:val="22"/>
          <w:szCs w:val="22"/>
        </w:rPr>
        <w:t xml:space="preserve">Daily active usage (morning brief open rate)</w:t>
      </w:r>
    </w:p>
    <w:p>
      <w:pPr>
        <w:pStyle w:val="ListParagraph"/>
        <w:numPr>
          <w:ilvl w:val="0"/>
          <w:numId w:val="2"/>
        </w:numPr>
      </w:pPr>
      <w:r>
        <w:rPr>
          <w:rFonts w:ascii="Arial" w:cs="Arial" w:eastAsia="Arial" w:hAnsi="Arial"/>
          <w:sz w:val="22"/>
          <w:szCs w:val="22"/>
        </w:rPr>
        <w:t xml:space="preserve">Time spent in application</w:t>
      </w:r>
    </w:p>
    <w:p>
      <w:pPr>
        <w:pStyle w:val="ListParagraph"/>
        <w:numPr>
          <w:ilvl w:val="0"/>
          <w:numId w:val="2"/>
        </w:numPr>
      </w:pPr>
      <w:r>
        <w:rPr>
          <w:rFonts w:ascii="Arial" w:cs="Arial" w:eastAsia="Arial" w:hAnsi="Arial"/>
          <w:sz w:val="22"/>
          <w:szCs w:val="22"/>
        </w:rPr>
        <w:t xml:space="preserve">Feature utilization (which modules are used)</w:t>
      </w:r>
    </w:p>
    <w:p>
      <w:pPr>
        <w:pStyle w:val="ListParagraph"/>
        <w:numPr>
          <w:ilvl w:val="0"/>
          <w:numId w:val="2"/>
        </w:numPr>
      </w:pPr>
      <w:r>
        <w:rPr>
          <w:rFonts w:ascii="Arial" w:cs="Arial" w:eastAsia="Arial" w:hAnsi="Arial"/>
          <w:sz w:val="22"/>
          <w:szCs w:val="22"/>
        </w:rPr>
        <w:t xml:space="preserve">Recommendation acceptance rate</w:t>
      </w:r>
    </w:p>
    <w:p>
      <w:pPr>
        <w:pStyle w:val="Heading2"/>
        <w:spacing w:before="300" w:after="150"/>
      </w:pPr>
      <w:r>
        <w:rPr>
          <w:rFonts w:ascii="Arial" w:cs="Arial" w:eastAsia="Arial" w:hAnsi="Arial"/>
          <w:b/>
          <w:bCs/>
          <w:sz w:val="28"/>
          <w:szCs w:val="28"/>
        </w:rPr>
        <w:t xml:space="preserve">8.2 Outcome Metrics</w:t>
      </w:r>
    </w:p>
    <w:p>
      <w:pPr>
        <w:pStyle w:val="ListParagraph"/>
        <w:numPr>
          <w:ilvl w:val="0"/>
          <w:numId w:val="2"/>
        </w:numPr>
      </w:pPr>
      <w:r>
        <w:rPr>
          <w:rFonts w:ascii="Arial" w:cs="Arial" w:eastAsia="Arial" w:hAnsi="Arial"/>
          <w:sz w:val="22"/>
          <w:szCs w:val="22"/>
        </w:rPr>
        <w:t xml:space="preserve">Time to awareness (how quickly are issues surfaced vs. traditional methods)</w:t>
      </w:r>
    </w:p>
    <w:p>
      <w:pPr>
        <w:pStyle w:val="ListParagraph"/>
        <w:numPr>
          <w:ilvl w:val="0"/>
          <w:numId w:val="2"/>
        </w:numPr>
      </w:pPr>
      <w:r>
        <w:rPr>
          <w:rFonts w:ascii="Arial" w:cs="Arial" w:eastAsia="Arial" w:hAnsi="Arial"/>
          <w:sz w:val="22"/>
          <w:szCs w:val="22"/>
        </w:rPr>
        <w:t xml:space="preserve">Intervention success rate (at-risk accounts saved after Radar alert)</w:t>
      </w:r>
    </w:p>
    <w:p>
      <w:pPr>
        <w:pStyle w:val="ListParagraph"/>
        <w:numPr>
          <w:ilvl w:val="0"/>
          <w:numId w:val="2"/>
        </w:numPr>
      </w:pPr>
      <w:r>
        <w:rPr>
          <w:rFonts w:ascii="Arial" w:cs="Arial" w:eastAsia="Arial" w:hAnsi="Arial"/>
          <w:sz w:val="22"/>
          <w:szCs w:val="22"/>
        </w:rPr>
        <w:t xml:space="preserve">Executive time saved (self-reported, survey-based)</w:t>
      </w:r>
    </w:p>
    <w:p>
      <w:pPr>
        <w:pStyle w:val="ListParagraph"/>
        <w:numPr>
          <w:ilvl w:val="0"/>
          <w:numId w:val="2"/>
        </w:numPr>
      </w:pPr>
      <w:r>
        <w:rPr>
          <w:rFonts w:ascii="Arial" w:cs="Arial" w:eastAsia="Arial" w:hAnsi="Arial"/>
          <w:sz w:val="22"/>
          <w:szCs w:val="22"/>
        </w:rPr>
        <w:t xml:space="preserve">Correlation with NRR improvement over time</w:t>
      </w:r>
    </w:p>
    <w:p>
      <w:pPr>
        <w:pStyle w:val="Heading2"/>
        <w:spacing w:before="300" w:after="150"/>
      </w:pPr>
      <w:r>
        <w:rPr>
          <w:rFonts w:ascii="Arial" w:cs="Arial" w:eastAsia="Arial" w:hAnsi="Arial"/>
          <w:b/>
          <w:bCs/>
          <w:sz w:val="28"/>
          <w:szCs w:val="28"/>
        </w:rPr>
        <w:t xml:space="preserve">8.3 Trust Metrics</w:t>
      </w:r>
    </w:p>
    <w:p>
      <w:pPr>
        <w:pStyle w:val="ListParagraph"/>
        <w:numPr>
          <w:ilvl w:val="0"/>
          <w:numId w:val="2"/>
        </w:numPr>
      </w:pPr>
      <w:r>
        <w:rPr>
          <w:rFonts w:ascii="Arial" w:cs="Arial" w:eastAsia="Arial" w:hAnsi="Arial"/>
          <w:sz w:val="22"/>
          <w:szCs w:val="22"/>
        </w:rPr>
        <w:t xml:space="preserve">False positive rate (alerts that didn't require action)</w:t>
      </w:r>
    </w:p>
    <w:p>
      <w:pPr>
        <w:pStyle w:val="ListParagraph"/>
        <w:numPr>
          <w:ilvl w:val="0"/>
          <w:numId w:val="2"/>
        </w:numPr>
      </w:pPr>
      <w:r>
        <w:rPr>
          <w:rFonts w:ascii="Arial" w:cs="Arial" w:eastAsia="Arial" w:hAnsi="Arial"/>
          <w:sz w:val="22"/>
          <w:szCs w:val="22"/>
        </w:rPr>
        <w:t xml:space="preserve">False negative rate (issues missed by Radar)</w:t>
      </w:r>
    </w:p>
    <w:p>
      <w:pPr>
        <w:pStyle w:val="ListParagraph"/>
        <w:numPr>
          <w:ilvl w:val="0"/>
          <w:numId w:val="2"/>
        </w:numPr>
      </w:pPr>
      <w:r>
        <w:rPr>
          <w:rFonts w:ascii="Arial" w:cs="Arial" w:eastAsia="Arial" w:hAnsi="Arial"/>
          <w:sz w:val="22"/>
          <w:szCs w:val="22"/>
        </w:rPr>
        <w:t xml:space="preserve">User override rate (how often recommendations are ignored)</w:t>
      </w:r>
    </w:p>
    <w:p>
      <w:pPr>
        <w:pStyle w:val="ListParagraph"/>
        <w:numPr>
          <w:ilvl w:val="0"/>
          <w:numId w:val="2"/>
        </w:numPr>
      </w:pPr>
      <w:r>
        <w:rPr>
          <w:rFonts w:ascii="Arial" w:cs="Arial" w:eastAsia="Arial" w:hAnsi="Arial"/>
          <w:sz w:val="22"/>
          <w:szCs w:val="22"/>
        </w:rPr>
        <w:t xml:space="preserve">Satisfaction scores (NPS for Radar itself)</w:t>
      </w:r>
    </w:p>
    <w:p>
      <w:r>
        <w:br w:type="page"/>
      </w:r>
    </w:p>
    <w:p>
      <w:pPr>
        <w:pStyle w:val="Heading1"/>
        <w:spacing w:before="400" w:after="200"/>
      </w:pPr>
      <w:r>
        <w:rPr>
          <w:rFonts w:ascii="Arial" w:cs="Arial" w:eastAsia="Arial" w:hAnsi="Arial"/>
          <w:b/>
          <w:bCs/>
          <w:sz w:val="32"/>
          <w:szCs w:val="32"/>
        </w:rPr>
        <w:t xml:space="preserve">9. Recommended MVP Scope</w:t>
      </w:r>
    </w:p>
    <w:p>
      <w:pPr>
        <w:spacing w:after="120"/>
      </w:pPr>
      <w:r>
        <w:rPr>
          <w:rFonts w:ascii="Arial" w:cs="Arial" w:eastAsia="Arial" w:hAnsi="Arial"/>
          <w:b w:val="false"/>
          <w:bCs w:val="false"/>
          <w:sz w:val="22"/>
          <w:szCs w:val="22"/>
        </w:rPr>
        <w:t xml:space="preserve">Based on research, start narrow and prove value before expanding. The MVP should focus on the morning brief as the core value proposition.</w:t>
      </w:r>
    </w:p>
    <w:p>
      <w:pPr>
        <w:pStyle w:val="Heading2"/>
        <w:spacing w:before="300" w:after="150"/>
      </w:pPr>
      <w:r>
        <w:rPr>
          <w:rFonts w:ascii="Arial" w:cs="Arial" w:eastAsia="Arial" w:hAnsi="Arial"/>
          <w:b/>
          <w:bCs/>
          <w:sz w:val="28"/>
          <w:szCs w:val="28"/>
        </w:rPr>
        <w:t xml:space="preserve">9.1 Phase 1: Morning Brief (4-6 weeks)</w:t>
      </w:r>
    </w:p>
    <w:p>
      <w:pPr>
        <w:pStyle w:val="ListParagraph"/>
        <w:numPr>
          <w:ilvl w:val="0"/>
          <w:numId w:val="2"/>
        </w:numPr>
      </w:pPr>
      <w:r>
        <w:rPr>
          <w:rFonts w:ascii="Arial" w:cs="Arial" w:eastAsia="Arial" w:hAnsi="Arial"/>
          <w:sz w:val="22"/>
          <w:szCs w:val="22"/>
        </w:rPr>
        <w:t xml:space="preserve">Daily email digest at configurable time</w:t>
      </w:r>
    </w:p>
    <w:p>
      <w:pPr>
        <w:pStyle w:val="ListParagraph"/>
        <w:numPr>
          <w:ilvl w:val="0"/>
          <w:numId w:val="2"/>
        </w:numPr>
      </w:pPr>
      <w:r>
        <w:rPr>
          <w:rFonts w:ascii="Arial" w:cs="Arial" w:eastAsia="Arial" w:hAnsi="Arial"/>
          <w:sz w:val="22"/>
          <w:szCs w:val="22"/>
        </w:rPr>
        <w:t xml:space="preserve">Portfolio health summary with delta from yesterday</w:t>
      </w:r>
    </w:p>
    <w:p>
      <w:pPr>
        <w:pStyle w:val="ListParagraph"/>
        <w:numPr>
          <w:ilvl w:val="0"/>
          <w:numId w:val="2"/>
        </w:numPr>
      </w:pPr>
      <w:r>
        <w:rPr>
          <w:rFonts w:ascii="Arial" w:cs="Arial" w:eastAsia="Arial" w:hAnsi="Arial"/>
          <w:sz w:val="22"/>
          <w:szCs w:val="22"/>
        </w:rPr>
        <w:t xml:space="preserve">Top 3-5 accounts requiring attention (with context)</w:t>
      </w:r>
    </w:p>
    <w:p>
      <w:pPr>
        <w:pStyle w:val="ListParagraph"/>
        <w:numPr>
          <w:ilvl w:val="0"/>
          <w:numId w:val="2"/>
        </w:numPr>
      </w:pPr>
      <w:r>
        <w:rPr>
          <w:rFonts w:ascii="Arial" w:cs="Arial" w:eastAsia="Arial" w:hAnsi="Arial"/>
          <w:sz w:val="22"/>
          <w:szCs w:val="22"/>
        </w:rPr>
        <w:t xml:space="preserve">Integration: CS platform + CRM (minimum viable data)</w:t>
      </w:r>
    </w:p>
    <w:p>
      <w:pPr>
        <w:pStyle w:val="Heading2"/>
        <w:spacing w:before="300" w:after="150"/>
      </w:pPr>
      <w:r>
        <w:rPr>
          <w:rFonts w:ascii="Arial" w:cs="Arial" w:eastAsia="Arial" w:hAnsi="Arial"/>
          <w:b/>
          <w:bCs/>
          <w:sz w:val="28"/>
          <w:szCs w:val="28"/>
        </w:rPr>
        <w:t xml:space="preserve">9.2 Phase 2: Customer Intelligence (4-6 weeks)</w:t>
      </w:r>
    </w:p>
    <w:p>
      <w:pPr>
        <w:pStyle w:val="ListParagraph"/>
        <w:numPr>
          <w:ilvl w:val="0"/>
          <w:numId w:val="2"/>
        </w:numPr>
      </w:pPr>
      <w:r>
        <w:rPr>
          <w:rFonts w:ascii="Arial" w:cs="Arial" w:eastAsia="Arial" w:hAnsi="Arial"/>
          <w:sz w:val="22"/>
          <w:szCs w:val="22"/>
        </w:rPr>
        <w:t xml:space="preserve">Interactive dashboard with health score details</w:t>
      </w:r>
    </w:p>
    <w:p>
      <w:pPr>
        <w:pStyle w:val="ListParagraph"/>
        <w:numPr>
          <w:ilvl w:val="0"/>
          <w:numId w:val="2"/>
        </w:numPr>
      </w:pPr>
      <w:r>
        <w:rPr>
          <w:rFonts w:ascii="Arial" w:cs="Arial" w:eastAsia="Arial" w:hAnsi="Arial"/>
          <w:sz w:val="22"/>
          <w:szCs w:val="22"/>
        </w:rPr>
        <w:t xml:space="preserve">Activity stream for selected accounts</w:t>
      </w:r>
    </w:p>
    <w:p>
      <w:pPr>
        <w:pStyle w:val="ListParagraph"/>
        <w:numPr>
          <w:ilvl w:val="0"/>
          <w:numId w:val="2"/>
        </w:numPr>
      </w:pPr>
      <w:r>
        <w:rPr>
          <w:rFonts w:ascii="Arial" w:cs="Arial" w:eastAsia="Arial" w:hAnsi="Arial"/>
          <w:sz w:val="22"/>
          <w:szCs w:val="22"/>
        </w:rPr>
        <w:t xml:space="preserve">Renewal pipeline view</w:t>
      </w:r>
    </w:p>
    <w:p>
      <w:pPr>
        <w:pStyle w:val="ListParagraph"/>
        <w:numPr>
          <w:ilvl w:val="0"/>
          <w:numId w:val="2"/>
        </w:numPr>
      </w:pPr>
      <w:r>
        <w:rPr>
          <w:rFonts w:ascii="Arial" w:cs="Arial" w:eastAsia="Arial" w:hAnsi="Arial"/>
          <w:sz w:val="22"/>
          <w:szCs w:val="22"/>
        </w:rPr>
        <w:t xml:space="preserve">Integration: Support platform + product analytics</w:t>
      </w:r>
    </w:p>
    <w:p>
      <w:pPr>
        <w:pStyle w:val="Heading2"/>
        <w:spacing w:before="300" w:after="150"/>
      </w:pPr>
      <w:r>
        <w:rPr>
          <w:rFonts w:ascii="Arial" w:cs="Arial" w:eastAsia="Arial" w:hAnsi="Arial"/>
          <w:b/>
          <w:bCs/>
          <w:sz w:val="28"/>
          <w:szCs w:val="28"/>
        </w:rPr>
        <w:t xml:space="preserve">9.3 Phase 3: Team &amp; External Intelligence (6-8 weeks)</w:t>
      </w:r>
    </w:p>
    <w:p>
      <w:pPr>
        <w:pStyle w:val="ListParagraph"/>
        <w:numPr>
          <w:ilvl w:val="0"/>
          <w:numId w:val="2"/>
        </w:numPr>
      </w:pPr>
      <w:r>
        <w:rPr>
          <w:rFonts w:ascii="Arial" w:cs="Arial" w:eastAsia="Arial" w:hAnsi="Arial"/>
          <w:sz w:val="22"/>
          <w:szCs w:val="22"/>
        </w:rPr>
        <w:t xml:space="preserve">Team performance dashboard</w:t>
      </w:r>
    </w:p>
    <w:p>
      <w:pPr>
        <w:pStyle w:val="ListParagraph"/>
        <w:numPr>
          <w:ilvl w:val="0"/>
          <w:numId w:val="2"/>
        </w:numPr>
      </w:pPr>
      <w:r>
        <w:rPr>
          <w:rFonts w:ascii="Arial" w:cs="Arial" w:eastAsia="Arial" w:hAnsi="Arial"/>
          <w:sz w:val="22"/>
          <w:szCs w:val="22"/>
        </w:rPr>
        <w:t xml:space="preserve">External signals integration</w:t>
      </w:r>
    </w:p>
    <w:p>
      <w:pPr>
        <w:pStyle w:val="ListParagraph"/>
        <w:numPr>
          <w:ilvl w:val="0"/>
          <w:numId w:val="2"/>
        </w:numPr>
      </w:pPr>
      <w:r>
        <w:rPr>
          <w:rFonts w:ascii="Arial" w:cs="Arial" w:eastAsia="Arial" w:hAnsi="Arial"/>
          <w:sz w:val="22"/>
          <w:szCs w:val="22"/>
        </w:rPr>
        <w:t xml:space="preserve">Conversational interface for ad-hoc queries</w:t>
      </w:r>
    </w:p>
    <w:p>
      <w:pPr>
        <w:pStyle w:val="ListParagraph"/>
        <w:numPr>
          <w:ilvl w:val="0"/>
          <w:numId w:val="2"/>
        </w:numPr>
      </w:pPr>
      <w:r>
        <w:rPr>
          <w:rFonts w:ascii="Arial" w:cs="Arial" w:eastAsia="Arial" w:hAnsi="Arial"/>
          <w:sz w:val="22"/>
          <w:szCs w:val="22"/>
        </w:rPr>
        <w:t xml:space="preserve">Action execution (with confirmation)</w:t>
      </w:r>
    </w:p>
    <w:p>
      <w:pPr>
        <w:spacing w:before="400"/>
      </w:pPr>
    </w:p>
    <w:p>
      <w:r>
        <w:br w:type="page"/>
      </w:r>
    </w:p>
    <w:p>
      <w:pPr>
        <w:pStyle w:val="Heading1"/>
        <w:spacing w:before="400" w:after="200"/>
      </w:pPr>
      <w:r>
        <w:rPr>
          <w:rFonts w:ascii="Arial" w:cs="Arial" w:eastAsia="Arial" w:hAnsi="Arial"/>
          <w:b/>
          <w:bCs/>
          <w:sz w:val="32"/>
          <w:szCs w:val="32"/>
        </w:rPr>
        <w:t xml:space="preserve">10. Competitive Analysis</w:t>
      </w:r>
    </w:p>
    <w:p>
      <w:pPr>
        <w:spacing w:after="120"/>
      </w:pPr>
      <w:r>
        <w:rPr>
          <w:rFonts w:ascii="Arial" w:cs="Arial" w:eastAsia="Arial" w:hAnsi="Arial"/>
          <w:sz w:val="22"/>
          <w:szCs w:val="22"/>
        </w:rPr>
        <w:t xml:space="preserve">Understanding the current landscape of Customer Success platforms and executive AI tools is essential for positioning Radar effectively. This analysis examines key competitors, their strengths, limitations, and market positioning to identify differentiation opportunities.</w:t>
      </w:r>
    </w:p>
    <w:p>
      <w:pPr>
        <w:pStyle w:val="Heading2"/>
        <w:spacing w:before="300" w:after="150"/>
      </w:pPr>
      <w:r>
        <w:rPr>
          <w:rFonts w:ascii="Arial" w:cs="Arial" w:eastAsia="Arial" w:hAnsi="Arial"/>
          <w:b/>
          <w:bCs/>
          <w:sz w:val="28"/>
          <w:szCs w:val="28"/>
        </w:rPr>
        <w:t xml:space="preserve">10.1 Customer Success Platform Market Overview</w:t>
      </w:r>
    </w:p>
    <w:p>
      <w:pPr>
        <w:spacing w:after="120"/>
      </w:pPr>
      <w:r>
        <w:rPr>
          <w:rFonts w:ascii="Arial" w:cs="Arial" w:eastAsia="Arial" w:hAnsi="Arial"/>
          <w:sz w:val="22"/>
          <w:szCs w:val="22"/>
        </w:rPr>
        <w:t xml:space="preserve">The Customer Success Management (CSM) platform market has consolidated significantly, with a few major players dominating enterprise deployments. According to Gartner’s 2024-2025 Magic Quadrant, the market leaders include Gainsight, ChurnZero, and the newly merged Totango-Catalyst entity.</w:t>
      </w:r>
    </w:p>
    <w:p>
      <w:pPr>
        <w:pStyle w:val="Heading3"/>
        <w:spacing w:before="200" w:after="100"/>
      </w:pPr>
      <w:r>
        <w:rPr>
          <w:rFonts w:ascii="Arial" w:cs="Arial" w:eastAsia="Arial" w:hAnsi="Arial"/>
          <w:b/>
          <w:bCs/>
          <w:sz w:val="24"/>
          <w:szCs w:val="24"/>
        </w:rPr>
        <w:t xml:space="preserve">Market Leaders Comparison</w:t>
      </w:r>
    </w:p>
    <w:tbl>
      <w:tblPr>
        <w:tblW w:w="5000" w:type="pct"/>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w="2340" w:type="dxa"/>
            <w:shd w:val="clear" w:fill="E8F4E8"/>
          </w:tcPr>
          <w:p>
            <w:r>
              <w:rPr>
                <w:rFonts w:ascii="Arial" w:hAnsi="Arial"/>
                <w:b/>
                <w:sz w:val="20"/>
              </w:rPr>
              <w:t>Platform</w:t>
            </w:r>
          </w:p>
        </w:tc>
        <w:tc>
          <w:tcPr>
            <w:tcW w:w="2340" w:type="dxa"/>
            <w:shd w:val="clear" w:fill="E8F4E8"/>
          </w:tcPr>
          <w:p>
            <w:r>
              <w:rPr>
                <w:rFonts w:ascii="Arial" w:hAnsi="Arial"/>
                <w:b/>
                <w:sz w:val="20"/>
              </w:rPr>
              <w:t>Target Market</w:t>
            </w:r>
          </w:p>
        </w:tc>
        <w:tc>
          <w:tcPr>
            <w:tcW w:w="2340" w:type="dxa"/>
            <w:shd w:val="clear" w:fill="E8F4E8"/>
          </w:tcPr>
          <w:p>
            <w:r>
              <w:rPr>
                <w:rFonts w:ascii="Arial" w:hAnsi="Arial"/>
                <w:b/>
                <w:sz w:val="20"/>
              </w:rPr>
              <w:t>Annual Pricing</w:t>
            </w:r>
          </w:p>
        </w:tc>
        <w:tc>
          <w:tcPr>
            <w:tcW w:w="2340" w:type="dxa"/>
            <w:shd w:val="clear" w:fill="E8F4E8"/>
          </w:tcPr>
          <w:p>
            <w:r>
              <w:rPr>
                <w:rFonts w:ascii="Arial" w:hAnsi="Arial"/>
                <w:b/>
                <w:sz w:val="20"/>
              </w:rPr>
              <w:t>Key Differentiator</w:t>
            </w:r>
          </w:p>
        </w:tc>
      </w:tr>
      <w:tr>
        <w:tc>
          <w:tcPr>
            <w:tcW w:w="2340" w:type="dxa"/>
          </w:tcPr>
          <w:p>
            <w:r>
              <w:rPr>
                <w:rFonts w:ascii="Arial" w:hAnsi="Arial"/>
                <w:sz w:val="20"/>
              </w:rPr>
              <w:t>Gainsight CS</w:t>
            </w:r>
          </w:p>
        </w:tc>
        <w:tc>
          <w:tcPr>
            <w:tcW w:w="2340" w:type="dxa"/>
          </w:tcPr>
          <w:p>
            <w:r>
              <w:rPr>
                <w:rFonts w:ascii="Arial" w:hAnsi="Arial"/>
                <w:sz w:val="20"/>
              </w:rPr>
              <w:t>Enterprise</w:t>
            </w:r>
          </w:p>
        </w:tc>
        <w:tc>
          <w:tcPr>
            <w:tcW w:w="2340" w:type="dxa"/>
          </w:tcPr>
          <w:p>
            <w:r>
              <w:rPr>
                <w:rFonts w:ascii="Arial" w:hAnsi="Arial"/>
                <w:sz w:val="20"/>
              </w:rPr>
              <w:t>$50K-$150K+</w:t>
            </w:r>
          </w:p>
        </w:tc>
        <w:tc>
          <w:tcPr>
            <w:tcW w:w="2340" w:type="dxa"/>
          </w:tcPr>
          <w:p>
            <w:r>
              <w:rPr>
                <w:rFonts w:ascii="Arial" w:hAnsi="Arial"/>
                <w:sz w:val="20"/>
              </w:rPr>
              <w:t>C360 view, Staircase AI acquisition</w:t>
            </w:r>
          </w:p>
        </w:tc>
      </w:tr>
      <w:tr>
        <w:tc>
          <w:tcPr>
            <w:tcW w:w="2340" w:type="dxa"/>
            <w:shd w:val="clear" w:fill="F5F5F5"/>
          </w:tcPr>
          <w:p>
            <w:r>
              <w:rPr>
                <w:rFonts w:ascii="Arial" w:hAnsi="Arial"/>
                <w:sz w:val="20"/>
              </w:rPr>
              <w:t>ChurnZero</w:t>
            </w:r>
          </w:p>
        </w:tc>
        <w:tc>
          <w:tcPr>
            <w:tcW w:w="2340" w:type="dxa"/>
            <w:shd w:val="clear" w:fill="F5F5F5"/>
          </w:tcPr>
          <w:p>
            <w:r>
              <w:rPr>
                <w:rFonts w:ascii="Arial" w:hAnsi="Arial"/>
                <w:sz w:val="20"/>
              </w:rPr>
              <w:t>Mid-Market/Enterprise</w:t>
            </w:r>
          </w:p>
        </w:tc>
        <w:tc>
          <w:tcPr>
            <w:tcW w:w="2340" w:type="dxa"/>
            <w:shd w:val="clear" w:fill="F5F5F5"/>
          </w:tcPr>
          <w:p>
            <w:r>
              <w:rPr>
                <w:rFonts w:ascii="Arial" w:hAnsi="Arial"/>
                <w:sz w:val="20"/>
              </w:rPr>
              <w:t>$20K-$60K</w:t>
            </w:r>
          </w:p>
        </w:tc>
        <w:tc>
          <w:tcPr>
            <w:tcW w:w="2340" w:type="dxa"/>
            <w:shd w:val="clear" w:fill="F5F5F5"/>
          </w:tcPr>
          <w:p>
            <w:r>
              <w:rPr>
                <w:rFonts w:ascii="Arial" w:hAnsi="Arial"/>
                <w:sz w:val="20"/>
              </w:rPr>
              <w:t>Command Center, CS AI automation</w:t>
            </w:r>
          </w:p>
        </w:tc>
      </w:tr>
      <w:tr>
        <w:tc>
          <w:tcPr>
            <w:tcW w:w="2340" w:type="dxa"/>
          </w:tcPr>
          <w:p>
            <w:r>
              <w:rPr>
                <w:rFonts w:ascii="Arial" w:hAnsi="Arial"/>
                <w:sz w:val="20"/>
              </w:rPr>
              <w:t>Totango/Catalyst</w:t>
            </w:r>
          </w:p>
        </w:tc>
        <w:tc>
          <w:tcPr>
            <w:tcW w:w="2340" w:type="dxa"/>
          </w:tcPr>
          <w:p>
            <w:r>
              <w:rPr>
                <w:rFonts w:ascii="Arial" w:hAnsi="Arial"/>
                <w:sz w:val="20"/>
              </w:rPr>
              <w:t>Mid-Market/Enterprise</w:t>
            </w:r>
          </w:p>
        </w:tc>
        <w:tc>
          <w:tcPr>
            <w:tcW w:w="2340" w:type="dxa"/>
          </w:tcPr>
          <w:p>
            <w:r>
              <w:rPr>
                <w:rFonts w:ascii="Arial" w:hAnsi="Arial"/>
                <w:sz w:val="20"/>
              </w:rPr>
              <w:t>$20K-$60K</w:t>
            </w:r>
          </w:p>
        </w:tc>
        <w:tc>
          <w:tcPr>
            <w:tcW w:w="2340" w:type="dxa"/>
          </w:tcPr>
          <w:p>
            <w:r>
              <w:rPr>
                <w:rFonts w:ascii="Arial" w:hAnsi="Arial"/>
                <w:sz w:val="20"/>
              </w:rPr>
              <w:t>SuccessBLOCs, customer-led growth</w:t>
            </w:r>
          </w:p>
        </w:tc>
      </w:tr>
      <w:tr>
        <w:tc>
          <w:tcPr>
            <w:tcW w:w="2340" w:type="dxa"/>
            <w:shd w:val="clear" w:fill="F5F5F5"/>
          </w:tcPr>
          <w:p>
            <w:r>
              <w:rPr>
                <w:rFonts w:ascii="Arial" w:hAnsi="Arial"/>
                <w:sz w:val="20"/>
              </w:rPr>
              <w:t>Vitally</w:t>
            </w:r>
          </w:p>
        </w:tc>
        <w:tc>
          <w:tcPr>
            <w:tcW w:w="2340" w:type="dxa"/>
            <w:shd w:val="clear" w:fill="F5F5F5"/>
          </w:tcPr>
          <w:p>
            <w:r>
              <w:rPr>
                <w:rFonts w:ascii="Arial" w:hAnsi="Arial"/>
                <w:sz w:val="20"/>
              </w:rPr>
              <w:t>SMB/Mid-Market</w:t>
            </w:r>
          </w:p>
        </w:tc>
        <w:tc>
          <w:tcPr>
            <w:tcW w:w="2340" w:type="dxa"/>
            <w:shd w:val="clear" w:fill="F5F5F5"/>
          </w:tcPr>
          <w:p>
            <w:r>
              <w:rPr>
                <w:rFonts w:ascii="Arial" w:hAnsi="Arial"/>
                <w:sz w:val="20"/>
              </w:rPr>
              <w:t>$6K-$25K</w:t>
            </w:r>
          </w:p>
        </w:tc>
        <w:tc>
          <w:tcPr>
            <w:tcW w:w="2340" w:type="dxa"/>
            <w:shd w:val="clear" w:fill="F5F5F5"/>
          </w:tcPr>
          <w:p>
            <w:r>
              <w:rPr>
                <w:rFonts w:ascii="Arial" w:hAnsi="Arial"/>
                <w:sz w:val="20"/>
              </w:rPr>
              <w:t>Fast implementation (2-3 weeks)</w:t>
            </w:r>
          </w:p>
        </w:tc>
      </w:tr>
      <w:tr>
        <w:tc>
          <w:tcPr>
            <w:tcW w:w="2340" w:type="dxa"/>
          </w:tcPr>
          <w:p>
            <w:r>
              <w:rPr>
                <w:rFonts w:ascii="Arial" w:hAnsi="Arial"/>
                <w:sz w:val="20"/>
              </w:rPr>
              <w:t>Planhat</w:t>
            </w:r>
          </w:p>
        </w:tc>
        <w:tc>
          <w:tcPr>
            <w:tcW w:w="2340" w:type="dxa"/>
          </w:tcPr>
          <w:p>
            <w:r>
              <w:rPr>
                <w:rFonts w:ascii="Arial" w:hAnsi="Arial"/>
                <w:sz w:val="20"/>
              </w:rPr>
              <w:t>Mid-Market</w:t>
            </w:r>
          </w:p>
        </w:tc>
        <w:tc>
          <w:tcPr>
            <w:tcW w:w="2340" w:type="dxa"/>
          </w:tcPr>
          <w:p>
            <w:r>
              <w:rPr>
                <w:rFonts w:ascii="Arial" w:hAnsi="Arial"/>
                <w:sz w:val="20"/>
              </w:rPr>
              <w:t>$12K-$40K</w:t>
            </w:r>
          </w:p>
        </w:tc>
        <w:tc>
          <w:tcPr>
            <w:tcW w:w="2340" w:type="dxa"/>
          </w:tcPr>
          <w:p>
            <w:r>
              <w:rPr>
                <w:rFonts w:ascii="Arial" w:hAnsi="Arial"/>
                <w:sz w:val="20"/>
              </w:rPr>
              <w:t>Flexible data modeling</w:t>
            </w:r>
          </w:p>
        </w:tc>
      </w:tr>
    </w:tbl>
    <w:p>
      <w:pPr>
        <w:spacing w:after="200"/>
      </w:pPr>
    </w:p>
    <w:p>
      <w:pPr>
        <w:pStyle w:val="Heading2"/>
        <w:spacing w:before="300" w:after="150"/>
      </w:pPr>
      <w:r>
        <w:rPr>
          <w:rFonts w:ascii="Arial" w:cs="Arial" w:eastAsia="Arial" w:hAnsi="Arial"/>
          <w:b/>
          <w:bCs/>
          <w:sz w:val="28"/>
          <w:szCs w:val="28"/>
        </w:rPr>
        <w:t xml:space="preserve">10.2 Detailed Competitor Analysis</w:t>
      </w:r>
    </w:p>
    <w:p>
      <w:pPr>
        <w:pStyle w:val="Heading3"/>
        <w:spacing w:before="200" w:after="100"/>
      </w:pPr>
      <w:r>
        <w:rPr>
          <w:rFonts w:ascii="Arial" w:cs="Arial" w:eastAsia="Arial" w:hAnsi="Arial"/>
          <w:b/>
          <w:bCs/>
          <w:sz w:val="24"/>
          <w:szCs w:val="24"/>
        </w:rPr>
        <w:t xml:space="preserve">10.2.1 Gainsight</w:t>
      </w:r>
    </w:p>
    <w:p>
      <w:pPr>
        <w:spacing w:after="120"/>
      </w:pPr>
      <w:r>
        <w:rPr>
          <w:rFonts w:ascii="Arial" w:cs="Arial" w:eastAsia="Arial" w:hAnsi="Arial"/>
          <w:b/>
          <w:sz w:val="22"/>
          <w:szCs w:val="22"/>
        </w:rPr>
        <w:t xml:space="preserve">Market Position: </w:t>
      </w:r>
      <w:r>
        <w:rPr>
          <w:rFonts w:ascii="Arial" w:cs="Arial" w:eastAsia="Arial" w:hAnsi="Arial"/>
          <w:sz w:val="22"/>
          <w:szCs w:val="22"/>
        </w:rPr>
        <w:t xml:space="preserve">Gainsight is the dominant enterprise CS platform with the most comprehensive feature set. In January 2025, they acquired Staircase AI to enhance their AI-driven sentiment analysis capabilities.</w:t>
      </w:r>
    </w:p>
    <w:p>
      <w:pPr>
        <w:spacing w:after="80"/>
      </w:pPr>
      <w:r>
        <w:rPr>
          <w:rFonts w:ascii="Arial" w:cs="Arial" w:eastAsia="Arial" w:hAnsi="Arial"/>
          <w:sz w:val="22"/>
          <w:szCs w:val="22"/>
        </w:rPr>
        <w:t xml:space="preserve">Key Features for Executives:</w:t>
      </w:r>
    </w:p>
    <w:p>
      <w:pPr>
        <w:pStyle w:val="ListParagraph"/>
        <w:numPr>
          <w:ilvl w:val="0"/>
          <w:numId w:val="2"/>
        </w:numPr>
      </w:pPr>
      <w:r>
        <w:rPr>
          <w:rFonts w:ascii="Arial" w:cs="Arial" w:eastAsia="Arial" w:hAnsi="Arial"/>
          <w:sz w:val="22"/>
          <w:szCs w:val="22"/>
        </w:rPr>
        <w:t xml:space="preserve">Customer 360 (C360): Centralized view synthesizing health scores, ARR, NPS, open CTAs, and usage data</w:t>
      </w:r>
    </w:p>
    <w:p>
      <w:pPr>
        <w:pStyle w:val="ListParagraph"/>
        <w:numPr>
          <w:ilvl w:val="0"/>
          <w:numId w:val="2"/>
        </w:numPr>
      </w:pPr>
      <w:r>
        <w:rPr>
          <w:rFonts w:ascii="Arial" w:cs="Arial" w:eastAsia="Arial" w:hAnsi="Arial"/>
          <w:sz w:val="22"/>
          <w:szCs w:val="22"/>
        </w:rPr>
        <w:t xml:space="preserve">Staircase AI Executive Dashboard: AI-driven analytics for sentiment, engagement trends, and churn risks</w:t>
      </w:r>
    </w:p>
    <w:p>
      <w:pPr>
        <w:pStyle w:val="ListParagraph"/>
        <w:numPr>
          <w:ilvl w:val="0"/>
          <w:numId w:val="2"/>
        </w:numPr>
      </w:pPr>
      <w:r>
        <w:rPr>
          <w:rFonts w:ascii="Arial" w:cs="Arial" w:eastAsia="Arial" w:hAnsi="Arial"/>
          <w:sz w:val="22"/>
          <w:szCs w:val="22"/>
        </w:rPr>
        <w:t xml:space="preserve">Scorecards 2.0: Multi-dimensional health tracking with customizable measures</w:t>
      </w:r>
    </w:p>
    <w:p>
      <w:pPr>
        <w:spacing w:after="80"/>
      </w:pPr>
      <w:r>
        <w:rPr>
          <w:rFonts w:ascii="Arial" w:cs="Arial" w:eastAsia="Arial" w:hAnsi="Arial"/>
          <w:sz w:val="22"/>
          <w:szCs w:val="22"/>
        </w:rPr>
        <w:t xml:space="preserve">Limitations Identified:</w:t>
      </w:r>
    </w:p>
    <w:p>
      <w:pPr>
        <w:pStyle w:val="ListParagraph"/>
        <w:numPr>
          <w:ilvl w:val="0"/>
          <w:numId w:val="2"/>
        </w:numPr>
      </w:pPr>
      <w:r>
        <w:rPr>
          <w:rFonts w:ascii="Arial" w:cs="Arial" w:eastAsia="Arial" w:hAnsi="Arial"/>
          <w:sz w:val="22"/>
          <w:szCs w:val="22"/>
        </w:rPr>
        <w:t xml:space="preserve">Complexity: Users report steep learning curve; extensive customization can feel overwhelming</w:t>
      </w:r>
    </w:p>
    <w:p>
      <w:pPr>
        <w:pStyle w:val="ListParagraph"/>
        <w:numPr>
          <w:ilvl w:val="0"/>
          <w:numId w:val="2"/>
        </w:numPr>
      </w:pPr>
      <w:r>
        <w:rPr>
          <w:rFonts w:ascii="Arial" w:cs="Arial" w:eastAsia="Arial" w:hAnsi="Arial"/>
          <w:sz w:val="22"/>
          <w:szCs w:val="22"/>
        </w:rPr>
        <w:t xml:space="preserve">Dashboard limitations: Non-admin users cannot customize dashboards; executives still request spreadsheets</w:t>
      </w:r>
    </w:p>
    <w:p>
      <w:pPr>
        <w:pStyle w:val="ListParagraph"/>
        <w:numPr>
          <w:ilvl w:val="0"/>
          <w:numId w:val="2"/>
        </w:numPr>
      </w:pPr>
      <w:r>
        <w:rPr>
          <w:rFonts w:ascii="Arial" w:cs="Arial" w:eastAsia="Arial" w:hAnsi="Arial"/>
          <w:sz w:val="22"/>
          <w:szCs w:val="22"/>
        </w:rPr>
        <w:t xml:space="preserve">Cost: Enterprise pricing ($50K-$150K+) limits accessibility; requires dedicated administrator</w:t>
      </w:r>
    </w:p>
    <w:p>
      <w:pPr>
        <w:pStyle w:val="Heading3"/>
        <w:spacing w:before="200" w:after="100"/>
      </w:pPr>
      <w:r>
        <w:rPr>
          <w:rFonts w:ascii="Arial" w:cs="Arial" w:eastAsia="Arial" w:hAnsi="Arial"/>
          <w:b/>
          <w:bCs/>
          <w:sz w:val="24"/>
          <w:szCs w:val="24"/>
        </w:rPr>
        <w:t xml:space="preserve">10.2.2 ChurnZero</w:t>
      </w:r>
    </w:p>
    <w:p>
      <w:pPr>
        <w:spacing w:after="120"/>
      </w:pPr>
      <w:r>
        <w:rPr>
          <w:rFonts w:ascii="Arial" w:cs="Arial" w:eastAsia="Arial" w:hAnsi="Arial"/>
          <w:b/>
          <w:sz w:val="22"/>
          <w:szCs w:val="22"/>
        </w:rPr>
        <w:t xml:space="preserve">Market Position: </w:t>
      </w:r>
      <w:r>
        <w:rPr>
          <w:rFonts w:ascii="Arial" w:cs="Arial" w:eastAsia="Arial" w:hAnsi="Arial"/>
          <w:sz w:val="22"/>
          <w:szCs w:val="22"/>
        </w:rPr>
        <w:t xml:space="preserve">ChurnZero holds the highest G2 rating (4.6/5) and was named a Leader in Gartner’s 2024 Magic Quadrant. Known for ease of use and strong automation.</w:t>
      </w:r>
    </w:p>
    <w:p>
      <w:pPr>
        <w:spacing w:after="80"/>
      </w:pPr>
      <w:r>
        <w:rPr>
          <w:rFonts w:ascii="Arial" w:cs="Arial" w:eastAsia="Arial" w:hAnsi="Arial"/>
          <w:sz w:val="22"/>
          <w:szCs w:val="22"/>
        </w:rPr>
        <w:t xml:space="preserve">Key Features for Executives:</w:t>
      </w:r>
    </w:p>
    <w:p>
      <w:pPr>
        <w:pStyle w:val="ListParagraph"/>
        <w:numPr>
          <w:ilvl w:val="0"/>
          <w:numId w:val="2"/>
        </w:numPr>
      </w:pPr>
      <w:r>
        <w:rPr>
          <w:rFonts w:ascii="Arial" w:cs="Arial" w:eastAsia="Arial" w:hAnsi="Arial"/>
          <w:sz w:val="22"/>
          <w:szCs w:val="22"/>
        </w:rPr>
        <w:t xml:space="preserve">Command Center: Single dashboard providing daily tasks, calendar, health score changes, and alerts</w:t>
      </w:r>
    </w:p>
    <w:p>
      <w:pPr>
        <w:pStyle w:val="ListParagraph"/>
        <w:numPr>
          <w:ilvl w:val="0"/>
          <w:numId w:val="2"/>
        </w:numPr>
      </w:pPr>
      <w:r>
        <w:rPr>
          <w:rFonts w:ascii="Arial" w:cs="Arial" w:eastAsia="Arial" w:hAnsi="Arial"/>
          <w:sz w:val="22"/>
          <w:szCs w:val="22"/>
        </w:rPr>
        <w:t xml:space="preserve">ChurnScore V2: Refined health scoring with multiple data points for accurate health picture</w:t>
      </w:r>
    </w:p>
    <w:p>
      <w:pPr>
        <w:pStyle w:val="ListParagraph"/>
        <w:numPr>
          <w:ilvl w:val="0"/>
          <w:numId w:val="2"/>
        </w:numPr>
      </w:pPr>
      <w:r>
        <w:rPr>
          <w:rFonts w:ascii="Arial" w:cs="Arial" w:eastAsia="Arial" w:hAnsi="Arial"/>
          <w:sz w:val="22"/>
          <w:szCs w:val="22"/>
        </w:rPr>
        <w:t xml:space="preserve">CS AI: Automated meeting follow-ups, sentiment tracking, and engagement AI</w:t>
      </w:r>
    </w:p>
    <w:p>
      <w:pPr>
        <w:pStyle w:val="ListParagraph"/>
        <w:numPr>
          <w:ilvl w:val="0"/>
          <w:numId w:val="2"/>
        </w:numPr>
      </w:pPr>
      <w:r>
        <w:rPr>
          <w:rFonts w:ascii="Arial" w:cs="Arial" w:eastAsia="Arial" w:hAnsi="Arial"/>
          <w:sz w:val="22"/>
          <w:szCs w:val="22"/>
        </w:rPr>
        <w:t xml:space="preserve">Dynamic Slides: Automated QBR/EBR presentation generation from account data</w:t>
      </w:r>
    </w:p>
    <w:p>
      <w:pPr>
        <w:pStyle w:val="Heading2"/>
        <w:spacing w:before="300" w:after="150"/>
      </w:pPr>
      <w:r>
        <w:rPr>
          <w:rFonts w:ascii="Arial" w:cs="Arial" w:eastAsia="Arial" w:hAnsi="Arial"/>
          <w:b/>
          <w:bCs/>
          <w:sz w:val="28"/>
          <w:szCs w:val="28"/>
        </w:rPr>
        <w:t xml:space="preserve">10.3 Feature Gap Analysis</w:t>
      </w:r>
    </w:p>
    <w:p>
      <w:pPr>
        <w:spacing w:after="120"/>
      </w:pPr>
      <w:r>
        <w:rPr>
          <w:rFonts w:ascii="Arial" w:cs="Arial" w:eastAsia="Arial" w:hAnsi="Arial"/>
          <w:sz w:val="22"/>
          <w:szCs w:val="22"/>
        </w:rPr>
        <w:t xml:space="preserve">Analysis of current platforms reveals consistent gaps that represent Radar’s differentiation opportunity:</w:t>
      </w:r>
    </w:p>
    <w:tbl>
      <w:tblPr>
        <w:tblW w:w="5000" w:type="pct"/>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fill="E8F4E8"/>
          </w:tcPr>
          <w:p>
            <w:r>
              <w:rPr>
                <w:rFonts w:ascii="Arial" w:hAnsi="Arial"/>
                <w:b/>
                <w:sz w:val="20"/>
              </w:rPr>
              <w:t>Gap Area</w:t>
            </w:r>
          </w:p>
        </w:tc>
        <w:tc>
          <w:tcPr>
            <w:tcW w:w="3120" w:type="dxa"/>
            <w:shd w:val="clear" w:fill="E8F4E8"/>
          </w:tcPr>
          <w:p>
            <w:r>
              <w:rPr>
                <w:rFonts w:ascii="Arial" w:hAnsi="Arial"/>
                <w:b/>
                <w:sz w:val="20"/>
              </w:rPr>
              <w:t>Current State</w:t>
            </w:r>
          </w:p>
        </w:tc>
        <w:tc>
          <w:tcPr>
            <w:tcW w:w="3120" w:type="dxa"/>
            <w:shd w:val="clear" w:fill="E8F4E8"/>
          </w:tcPr>
          <w:p>
            <w:r>
              <w:rPr>
                <w:rFonts w:ascii="Arial" w:hAnsi="Arial"/>
                <w:b/>
                <w:sz w:val="20"/>
              </w:rPr>
              <w:t>Radar Opportunity</w:t>
            </w:r>
          </w:p>
        </w:tc>
      </w:tr>
      <w:tr>
        <w:tc>
          <w:tcPr>
            <w:tcW w:w="3120" w:type="dxa"/>
          </w:tcPr>
          <w:p>
            <w:r>
              <w:rPr>
                <w:rFonts w:ascii="Arial" w:hAnsi="Arial"/>
                <w:b/>
                <w:sz w:val="20"/>
              </w:rPr>
              <w:t>Executive-First Design</w:t>
            </w:r>
          </w:p>
        </w:tc>
        <w:tc>
          <w:tcPr>
            <w:tcW w:w="3120" w:type="dxa"/>
          </w:tcPr>
          <w:p>
            <w:r>
              <w:rPr>
                <w:rFonts w:ascii="Arial" w:hAnsi="Arial"/>
                <w:sz w:val="20"/>
              </w:rPr>
              <w:t>Platforms built for CSMs; executives access filtered views</w:t>
            </w:r>
          </w:p>
        </w:tc>
        <w:tc>
          <w:tcPr>
            <w:tcW w:w="3120" w:type="dxa"/>
          </w:tcPr>
          <w:p>
            <w:r>
              <w:rPr>
                <w:rFonts w:ascii="Arial" w:hAnsi="Arial"/>
                <w:sz w:val="20"/>
              </w:rPr>
              <w:t>Purpose-built for VP/CCO decision-making from day one</w:t>
            </w:r>
          </w:p>
        </w:tc>
      </w:tr>
      <w:tr>
        <w:tc>
          <w:tcPr>
            <w:tcW w:w="3120" w:type="dxa"/>
            <w:shd w:val="clear" w:fill="F5F5F5"/>
          </w:tcPr>
          <w:p>
            <w:r>
              <w:rPr>
                <w:rFonts w:ascii="Arial" w:hAnsi="Arial"/>
                <w:b/>
                <w:sz w:val="20"/>
              </w:rPr>
              <w:t>Proactive Morning Brief</w:t>
            </w:r>
          </w:p>
        </w:tc>
        <w:tc>
          <w:tcPr>
            <w:tcW w:w="3120" w:type="dxa"/>
            <w:shd w:val="clear" w:fill="F5F5F5"/>
          </w:tcPr>
          <w:p>
            <w:r>
              <w:rPr>
                <w:rFonts w:ascii="Arial" w:hAnsi="Arial"/>
                <w:sz w:val="20"/>
              </w:rPr>
              <w:t>Dashboards require login and navigation to find insights</w:t>
            </w:r>
          </w:p>
        </w:tc>
        <w:tc>
          <w:tcPr>
            <w:tcW w:w="3120" w:type="dxa"/>
            <w:shd w:val="clear" w:fill="F5F5F5"/>
          </w:tcPr>
          <w:p>
            <w:r>
              <w:rPr>
                <w:rFonts w:ascii="Arial" w:hAnsi="Arial"/>
                <w:sz w:val="20"/>
              </w:rPr>
              <w:t>Push synthesized brief with actions before work day begins</w:t>
            </w:r>
          </w:p>
        </w:tc>
      </w:tr>
      <w:tr>
        <w:tc>
          <w:tcPr>
            <w:tcW w:w="3120" w:type="dxa"/>
          </w:tcPr>
          <w:p>
            <w:r>
              <w:rPr>
                <w:rFonts w:ascii="Arial" w:hAnsi="Arial"/>
                <w:b/>
                <w:sz w:val="20"/>
              </w:rPr>
              <w:t>Action Guidance</w:t>
            </w:r>
          </w:p>
        </w:tc>
        <w:tc>
          <w:tcPr>
            <w:tcW w:w="3120" w:type="dxa"/>
          </w:tcPr>
          <w:p>
            <w:r>
              <w:rPr>
                <w:rFonts w:ascii="Arial" w:hAnsi="Arial"/>
                <w:sz w:val="20"/>
              </w:rPr>
              <w:t>Health scores show status but not “what to do next”</w:t>
            </w:r>
          </w:p>
        </w:tc>
        <w:tc>
          <w:tcPr>
            <w:tcW w:w="3120" w:type="dxa"/>
          </w:tcPr>
          <w:p>
            <w:r>
              <w:rPr>
                <w:rFonts w:ascii="Arial" w:hAnsi="Arial"/>
                <w:sz w:val="20"/>
              </w:rPr>
              <w:t>Every insight includes recommended action and execution path</w:t>
            </w:r>
          </w:p>
        </w:tc>
      </w:tr>
      <w:tr>
        <w:tc>
          <w:tcPr>
            <w:tcW w:w="3120" w:type="dxa"/>
            <w:shd w:val="clear" w:fill="F5F5F5"/>
          </w:tcPr>
          <w:p>
            <w:r>
              <w:rPr>
                <w:rFonts w:ascii="Arial" w:hAnsi="Arial"/>
                <w:b/>
                <w:sz w:val="20"/>
              </w:rPr>
              <w:t>External Context</w:t>
            </w:r>
          </w:p>
        </w:tc>
        <w:tc>
          <w:tcPr>
            <w:tcW w:w="3120" w:type="dxa"/>
            <w:shd w:val="clear" w:fill="F5F5F5"/>
          </w:tcPr>
          <w:p>
            <w:r>
              <w:rPr>
                <w:rFonts w:ascii="Arial" w:hAnsi="Arial"/>
                <w:sz w:val="20"/>
              </w:rPr>
              <w:t>Focus on internal signals; limited external intelligence</w:t>
            </w:r>
          </w:p>
        </w:tc>
        <w:tc>
          <w:tcPr>
            <w:tcW w:w="3120" w:type="dxa"/>
            <w:shd w:val="clear" w:fill="F5F5F5"/>
          </w:tcPr>
          <w:p>
            <w:r>
              <w:rPr>
                <w:rFonts w:ascii="Arial" w:hAnsi="Arial"/>
                <w:sz w:val="20"/>
              </w:rPr>
              <w:t>Integrate company news, leadership changes, market context</w:t>
            </w:r>
          </w:p>
        </w:tc>
      </w:tr>
      <w:tr>
        <w:tc>
          <w:tcPr>
            <w:tcW w:w="3120" w:type="dxa"/>
          </w:tcPr>
          <w:p>
            <w:r>
              <w:rPr>
                <w:rFonts w:ascii="Arial" w:hAnsi="Arial"/>
                <w:b/>
                <w:sz w:val="20"/>
              </w:rPr>
              <w:t>Trust and Transparency</w:t>
            </w:r>
          </w:p>
        </w:tc>
        <w:tc>
          <w:tcPr>
            <w:tcW w:w="3120" w:type="dxa"/>
          </w:tcPr>
          <w:p>
            <w:r>
              <w:rPr>
                <w:rFonts w:ascii="Arial" w:hAnsi="Arial"/>
                <w:sz w:val="20"/>
              </w:rPr>
              <w:t>AI features often black-box; limited explanation of scoring</w:t>
            </w:r>
          </w:p>
        </w:tc>
        <w:tc>
          <w:tcPr>
            <w:tcW w:w="3120" w:type="dxa"/>
          </w:tcPr>
          <w:p>
            <w:r>
              <w:rPr>
                <w:rFonts w:ascii="Arial" w:hAnsi="Arial"/>
                <w:sz w:val="20"/>
              </w:rPr>
              <w:t>Source all data, explain reasoning, enable drill-down verification</w:t>
            </w:r>
          </w:p>
        </w:tc>
      </w:tr>
    </w:tbl>
    <w:p>
      <w:pPr>
        <w:spacing w:after="200"/>
      </w:pPr>
    </w:p>
    <w:p>
      <w:pPr>
        <w:pStyle w:val="Heading2"/>
        <w:spacing w:before="300" w:after="150"/>
      </w:pPr>
      <w:r>
        <w:rPr>
          <w:rFonts w:ascii="Arial" w:cs="Arial" w:eastAsia="Arial" w:hAnsi="Arial"/>
          <w:b/>
          <w:bCs/>
          <w:sz w:val="28"/>
          <w:szCs w:val="28"/>
        </w:rPr>
        <w:t xml:space="preserve">10.4 Valuable Dashboard Patterns</w:t>
      </w:r>
    </w:p>
    <w:p>
      <w:pPr>
        <w:spacing w:after="120"/>
      </w:pPr>
      <w:r>
        <w:rPr>
          <w:rFonts w:ascii="Arial" w:cs="Arial" w:eastAsia="Arial" w:hAnsi="Arial"/>
          <w:sz w:val="22"/>
          <w:szCs w:val="22"/>
        </w:rPr>
        <w:t xml:space="preserve">Research across CS platforms reveals specific dashboard elements executives find most valuable:</w:t>
      </w:r>
    </w:p>
    <w:p>
      <w:pPr>
        <w:spacing w:after="80"/>
      </w:pPr>
      <w:r>
        <w:rPr>
          <w:rFonts w:ascii="Arial" w:cs="Arial" w:eastAsia="Arial" w:hAnsi="Arial"/>
          <w:b/>
          <w:sz w:val="22"/>
          <w:szCs w:val="22"/>
        </w:rPr>
        <w:t xml:space="preserve">Health Score Visualization:</w:t>
      </w:r>
    </w:p>
    <w:p>
      <w:pPr>
        <w:pStyle w:val="ListParagraph"/>
        <w:numPr>
          <w:ilvl w:val="0"/>
          <w:numId w:val="2"/>
        </w:numPr>
      </w:pPr>
      <w:r>
        <w:rPr>
          <w:rFonts w:ascii="Arial" w:cs="Arial" w:eastAsia="Arial" w:hAnsi="Arial"/>
          <w:sz w:val="22"/>
          <w:szCs w:val="22"/>
        </w:rPr>
        <w:t xml:space="preserve">Delta from yesterday: Executives want to see what changed, not just current state</w:t>
      </w:r>
    </w:p>
    <w:p>
      <w:pPr>
        <w:pStyle w:val="ListParagraph"/>
        <w:numPr>
          <w:ilvl w:val="0"/>
          <w:numId w:val="2"/>
        </w:numPr>
      </w:pPr>
      <w:r>
        <w:rPr>
          <w:rFonts w:ascii="Arial" w:cs="Arial" w:eastAsia="Arial" w:hAnsi="Arial"/>
          <w:sz w:val="22"/>
          <w:szCs w:val="22"/>
        </w:rPr>
        <w:t xml:space="preserve">Trend lines: Historical view showing trajectory (improving/declining/stable)</w:t>
      </w:r>
    </w:p>
    <w:p>
      <w:pPr>
        <w:pStyle w:val="ListParagraph"/>
        <w:numPr>
          <w:ilvl w:val="0"/>
          <w:numId w:val="2"/>
        </w:numPr>
      </w:pPr>
      <w:r>
        <w:rPr>
          <w:rFonts w:ascii="Arial" w:cs="Arial" w:eastAsia="Arial" w:hAnsi="Arial"/>
          <w:sz w:val="22"/>
          <w:szCs w:val="22"/>
        </w:rPr>
        <w:t xml:space="preserve">Contributing factors visible: Show which measures drove the score, not just the composite</w:t>
      </w:r>
    </w:p>
    <w:p>
      <w:pPr>
        <w:pStyle w:val="ListParagraph"/>
        <w:numPr>
          <w:ilvl w:val="0"/>
          <w:numId w:val="2"/>
        </w:numPr>
      </w:pPr>
      <w:r>
        <w:rPr>
          <w:rFonts w:ascii="Arial" w:cs="Arial" w:eastAsia="Arial" w:hAnsi="Arial"/>
          <w:sz w:val="22"/>
          <w:szCs w:val="22"/>
        </w:rPr>
        <w:t xml:space="preserve">Red/Yellow/Green with context: Color coding must include explanation and recommended response</w:t>
      </w:r>
    </w:p>
    <w:p>
      <w:pPr>
        <w:spacing w:after="80"/>
      </w:pPr>
      <w:r>
        <w:rPr>
          <w:rFonts w:ascii="Arial" w:cs="Arial" w:eastAsia="Arial" w:hAnsi="Arial"/>
          <w:b/>
          <w:sz w:val="22"/>
          <w:szCs w:val="22"/>
        </w:rPr>
        <w:t xml:space="preserve">Account Prioritization:</w:t>
      </w:r>
    </w:p>
    <w:p>
      <w:pPr>
        <w:pStyle w:val="ListParagraph"/>
        <w:numPr>
          <w:ilvl w:val="0"/>
          <w:numId w:val="2"/>
        </w:numPr>
      </w:pPr>
      <w:r>
        <w:rPr>
          <w:rFonts w:ascii="Arial" w:cs="Arial" w:eastAsia="Arial" w:hAnsi="Arial"/>
          <w:sz w:val="22"/>
          <w:szCs w:val="22"/>
        </w:rPr>
        <w:t xml:space="preserve">Revenue-weighted risk: Prioritize by ARR at risk, not just count of red accounts</w:t>
      </w:r>
    </w:p>
    <w:p>
      <w:pPr>
        <w:pStyle w:val="ListParagraph"/>
        <w:numPr>
          <w:ilvl w:val="0"/>
          <w:numId w:val="2"/>
        </w:numPr>
      </w:pPr>
      <w:r>
        <w:rPr>
          <w:rFonts w:ascii="Arial" w:cs="Arial" w:eastAsia="Arial" w:hAnsi="Arial"/>
          <w:sz w:val="22"/>
          <w:szCs w:val="22"/>
        </w:rPr>
        <w:t xml:space="preserve">Time-sensitive actions: Surface renewals approaching, SLA deadlines, stale accounts</w:t>
      </w:r>
    </w:p>
    <w:p>
      <w:pPr>
        <w:pStyle w:val="ListParagraph"/>
        <w:numPr>
          <w:ilvl w:val="0"/>
          <w:numId w:val="2"/>
        </w:numPr>
      </w:pPr>
      <w:r>
        <w:rPr>
          <w:rFonts w:ascii="Arial" w:cs="Arial" w:eastAsia="Arial" w:hAnsi="Arial"/>
          <w:sz w:val="22"/>
          <w:szCs w:val="22"/>
        </w:rPr>
        <w:t xml:space="preserve">Confidence intervals: ChurnZero’s approach of showing prediction confidence helps set expectations</w:t>
      </w:r>
    </w:p>
    <w:p>
      <w:pPr>
        <w:pStyle w:val="Heading2"/>
        <w:spacing w:before="300" w:after="150"/>
      </w:pPr>
      <w:r>
        <w:rPr>
          <w:rFonts w:ascii="Arial" w:cs="Arial" w:eastAsia="Arial" w:hAnsi="Arial"/>
          <w:b/>
          <w:bCs/>
          <w:sz w:val="28"/>
          <w:szCs w:val="28"/>
        </w:rPr>
        <w:t xml:space="preserve">10.5 Competitive Positioning Strategy</w:t>
      </w:r>
    </w:p>
    <w:p>
      <w:pPr>
        <w:spacing w:after="120"/>
      </w:pPr>
      <w:r>
        <w:rPr>
          <w:rFonts w:ascii="Arial" w:cs="Arial" w:eastAsia="Arial" w:hAnsi="Arial"/>
          <w:sz w:val="22"/>
          <w:szCs w:val="22"/>
        </w:rPr>
        <w:t xml:space="preserve">Based on the analysis, Radar should position as </w:t>
      </w:r>
      <w:r>
        <w:rPr>
          <w:rFonts w:ascii="Arial" w:cs="Arial" w:eastAsia="Arial" w:hAnsi="Arial"/>
          <w:b/>
          <w:i/>
          <w:sz w:val="22"/>
          <w:szCs w:val="22"/>
        </w:rPr>
        <w:t xml:space="preserve">“The executive intelligence layer for Customer Success”</w:t>
      </w:r>
      <w:r>
        <w:rPr>
          <w:rFonts w:ascii="Arial" w:cs="Arial" w:eastAsia="Arial" w:hAnsi="Arial"/>
          <w:sz w:val="22"/>
          <w:szCs w:val="22"/>
        </w:rPr>
        <w:t xml:space="preserve"> — complementing existing CS platforms rather than replacing them.</w:t>
      </w:r>
    </w:p>
    <w:p>
      <w:pPr>
        <w:spacing w:after="80"/>
      </w:pPr>
      <w:r>
        <w:rPr>
          <w:rFonts w:ascii="Arial" w:cs="Arial" w:eastAsia="Arial" w:hAnsi="Arial"/>
          <w:sz w:val="22"/>
          <w:szCs w:val="22"/>
        </w:rPr>
        <w:t xml:space="preserve">Key positioning differentiators:</w:t>
      </w:r>
    </w:p>
    <w:p>
      <w:pPr>
        <w:pStyle w:val="ListParagraph"/>
        <w:numPr>
          <w:ilvl w:val="0"/>
          <w:numId w:val="3"/>
        </w:numPr>
      </w:pPr>
      <w:r>
        <w:rPr>
          <w:rFonts w:ascii="Arial" w:cs="Arial" w:eastAsia="Arial" w:hAnsi="Arial"/>
          <w:b/>
          <w:sz w:val="22"/>
          <w:szCs w:val="22"/>
        </w:rPr>
        <w:t xml:space="preserve">Executive-first: </w:t>
      </w:r>
      <w:r>
        <w:rPr>
          <w:rFonts w:ascii="Arial" w:cs="Arial" w:eastAsia="Arial" w:hAnsi="Arial"/>
          <w:sz w:val="22"/>
          <w:szCs w:val="22"/>
        </w:rPr>
        <w:t xml:space="preserve">Built for VP/CCO decision-making, not adapted from CSM workflows</w:t>
      </w:r>
    </w:p>
    <w:p>
      <w:pPr>
        <w:pStyle w:val="ListParagraph"/>
        <w:numPr>
          <w:ilvl w:val="0"/>
          <w:numId w:val="3"/>
        </w:numPr>
      </w:pPr>
      <w:r>
        <w:rPr>
          <w:rFonts w:ascii="Arial" w:cs="Arial" w:eastAsia="Arial" w:hAnsi="Arial"/>
          <w:b/>
          <w:sz w:val="22"/>
          <w:szCs w:val="22"/>
        </w:rPr>
        <w:t xml:space="preserve">Proactive delivery: </w:t>
      </w:r>
      <w:r>
        <w:rPr>
          <w:rFonts w:ascii="Arial" w:cs="Arial" w:eastAsia="Arial" w:hAnsi="Arial"/>
          <w:sz w:val="22"/>
          <w:szCs w:val="22"/>
        </w:rPr>
        <w:t xml:space="preserve">Push intelligence before it’s requested (morning brief model)</w:t>
      </w:r>
    </w:p>
    <w:p>
      <w:pPr>
        <w:pStyle w:val="ListParagraph"/>
        <w:numPr>
          <w:ilvl w:val="0"/>
          <w:numId w:val="3"/>
        </w:numPr>
      </w:pPr>
      <w:r>
        <w:rPr>
          <w:rFonts w:ascii="Arial" w:cs="Arial" w:eastAsia="Arial" w:hAnsi="Arial"/>
          <w:b/>
          <w:sz w:val="22"/>
          <w:szCs w:val="22"/>
        </w:rPr>
        <w:t xml:space="preserve">Action-oriented: </w:t>
      </w:r>
      <w:r>
        <w:rPr>
          <w:rFonts w:ascii="Arial" w:cs="Arial" w:eastAsia="Arial" w:hAnsi="Arial"/>
          <w:sz w:val="22"/>
          <w:szCs w:val="22"/>
        </w:rPr>
        <w:t xml:space="preserve">Every insight includes “what to do next” with execution path</w:t>
      </w:r>
    </w:p>
    <w:p>
      <w:pPr>
        <w:pStyle w:val="ListParagraph"/>
        <w:numPr>
          <w:ilvl w:val="0"/>
          <w:numId w:val="3"/>
        </w:numPr>
      </w:pPr>
      <w:r>
        <w:rPr>
          <w:rFonts w:ascii="Arial" w:cs="Arial" w:eastAsia="Arial" w:hAnsi="Arial"/>
          <w:b/>
          <w:sz w:val="22"/>
          <w:szCs w:val="22"/>
        </w:rPr>
        <w:t xml:space="preserve">Integration-focused: </w:t>
      </w:r>
      <w:r>
        <w:rPr>
          <w:rFonts w:ascii="Arial" w:cs="Arial" w:eastAsia="Arial" w:hAnsi="Arial"/>
          <w:sz w:val="22"/>
          <w:szCs w:val="22"/>
        </w:rPr>
        <w:t xml:space="preserve">Works alongside Gainsight, ChurnZero, Salesforce — not instead of them</w:t>
      </w:r>
    </w:p>
    <w:p>
      <w:pPr>
        <w:pStyle w:val="ListParagraph"/>
        <w:numPr>
          <w:ilvl w:val="0"/>
          <w:numId w:val="3"/>
        </w:numPr>
      </w:pPr>
      <w:r>
        <w:rPr>
          <w:rFonts w:ascii="Arial" w:cs="Arial" w:eastAsia="Arial" w:hAnsi="Arial"/>
          <w:b/>
          <w:sz w:val="22"/>
          <w:szCs w:val="22"/>
        </w:rPr>
        <w:t xml:space="preserve">Trust by design: </w:t>
      </w:r>
      <w:r>
        <w:rPr>
          <w:rFonts w:ascii="Arial" w:cs="Arial" w:eastAsia="Arial" w:hAnsi="Arial"/>
          <w:sz w:val="22"/>
          <w:szCs w:val="22"/>
        </w:rPr>
        <w:t xml:space="preserve">Transparent reasoning, sourced data, confirmation before high-stakes actions</w:t>
      </w:r>
    </w:p>
    <w:p>
      <w:pPr>
        <w:pStyle w:val="Heading1"/>
        <w:spacing w:before="400" w:after="200"/>
      </w:pPr>
      <w:r>
        <w:rPr>
          <w:rFonts w:ascii="Arial" w:cs="Arial" w:eastAsia="Arial" w:hAnsi="Arial"/>
          <w:b/>
          <w:bCs/>
          <w:sz w:val="32"/>
          <w:szCs w:val="32"/>
        </w:rPr>
        <w:t xml:space="preserve">Next Steps</w:t>
      </w:r>
    </w:p>
    <w:p>
      <w:pPr>
        <w:pStyle w:val="ListParagraph"/>
        <w:numPr>
          <w:ilvl w:val="0"/>
          <w:numId w:val="3"/>
        </w:numPr>
      </w:pPr>
      <w:r>
        <w:rPr>
          <w:rFonts w:ascii="Arial" w:cs="Arial" w:eastAsia="Arial" w:hAnsi="Arial"/>
          <w:sz w:val="22"/>
          <w:szCs w:val="22"/>
        </w:rPr>
        <w:t xml:space="preserve">Validate capability inventory with target users (VP CS interviews)</w:t>
      </w:r>
    </w:p>
    <w:p>
      <w:pPr>
        <w:pStyle w:val="ListParagraph"/>
        <w:numPr>
          <w:ilvl w:val="0"/>
          <w:numId w:val="3"/>
        </w:numPr>
      </w:pPr>
      <w:r>
        <w:rPr>
          <w:rFonts w:ascii="Arial" w:cs="Arial" w:eastAsia="Arial" w:hAnsi="Arial"/>
          <w:sz w:val="22"/>
          <w:szCs w:val="22"/>
        </w:rPr>
        <w:t xml:space="preserve">Prioritize based on pain severity and integration complexity</w:t>
      </w:r>
    </w:p>
    <w:p>
      <w:pPr>
        <w:pStyle w:val="ListParagraph"/>
        <w:numPr>
          <w:ilvl w:val="0"/>
          <w:numId w:val="3"/>
        </w:numPr>
      </w:pPr>
      <w:r>
        <w:rPr>
          <w:rFonts w:ascii="Arial" w:cs="Arial" w:eastAsia="Arial" w:hAnsi="Arial"/>
          <w:sz w:val="22"/>
          <w:szCs w:val="22"/>
        </w:rPr>
        <w:t xml:space="preserve">Build clickable mockup of morning brief experience</w:t>
      </w:r>
    </w:p>
    <w:p>
      <w:pPr>
        <w:pStyle w:val="ListParagraph"/>
        <w:numPr>
          <w:ilvl w:val="0"/>
          <w:numId w:val="3"/>
        </w:numPr>
      </w:pPr>
      <w:r>
        <w:rPr>
          <w:rFonts w:ascii="Arial" w:cs="Arial" w:eastAsia="Arial" w:hAnsi="Arial"/>
          <w:sz w:val="22"/>
          <w:szCs w:val="22"/>
        </w:rPr>
        <w:t xml:space="preserve">Identify pilot customer for first deployment</w:t>
      </w:r>
    </w:p>
    <w:p>
      <w:pPr>
        <w:pStyle w:val="ListParagraph"/>
        <w:numPr>
          <w:ilvl w:val="0"/>
          <w:numId w:val="3"/>
        </w:numPr>
      </w:pPr>
      <w:r>
        <w:rPr>
          <w:rFonts w:ascii="Arial" w:cs="Arial" w:eastAsia="Arial" w:hAnsi="Arial"/>
          <w:sz w:val="22"/>
          <w:szCs w:val="22"/>
        </w:rPr>
        <w:t xml:space="preserve">Define integration requirements with pilot's tech stack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RADAR Executive AI Agent |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2026-01-10T18:31:09.191Z</dcterms:created>
  <dcterms:modified xsi:type="dcterms:W3CDTF">2026-01-10T18:31:09.192Z</dcterms:modified>
</cp:coreProperties>
</file>

<file path=docProps/custom.xml><?xml version="1.0" encoding="utf-8"?>
<Properties xmlns="http://schemas.openxmlformats.org/officeDocument/2006/custom-properties" xmlns:vt="http://schemas.openxmlformats.org/officeDocument/2006/docPropsVTypes"/>
</file>