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60"/>
        <w:jc w:val="center"/>
      </w:pPr>
      <w:r>
        <w:rPr>
          <w:rFonts w:ascii="Arial" w:cs="Arial" w:eastAsia="Arial" w:hAnsi="Arial"/>
          <w:b/>
          <w:bCs/>
          <w:color w:val="1A6B6B"/>
          <w:sz w:val="20"/>
          <w:szCs w:val="20"/>
        </w:rPr>
        <w:t xml:space="preserve">Gamma Seeds Pte Ltd</w:t>
      </w:r>
    </w:p>
    <w:p>
      <w:pPr>
        <w:spacing w:after="60" w:before="0"/>
        <w:jc w:val="center"/>
      </w:pPr>
      <w:r>
        <w:rPr>
          <w:rFonts w:ascii="Arial" w:cs="Arial" w:eastAsia="Arial" w:hAnsi="Arial"/>
          <w:i/>
          <w:iCs/>
          <w:color w:val="666666"/>
          <w:sz w:val="20"/>
          <w:szCs w:val="20"/>
        </w:rPr>
        <w:t xml:space="preserve">Synapticode Platform — Internal Technical Specification</w:t>
      </w:r>
    </w:p>
    <w:p>
      <w:pPr>
        <w:spacing w:after="200" w:before="0"/>
        <w:jc w:val="center"/>
      </w:pPr>
      <w:r>
        <w:rPr>
          <w:rFonts w:ascii="Arial" w:cs="Arial" w:eastAsia="Arial" w:hAnsi="Arial"/>
          <w:b/>
          <w:bCs/>
          <w:color w:val="1A1A1A"/>
          <w:sz w:val="32"/>
          <w:szCs w:val="32"/>
        </w:rPr>
        <w:t xml:space="preserve">Ternary-Aware Fine-Tuning Harness</w:t>
      </w:r>
    </w:p>
    <w:p>
      <w:pPr>
        <w:spacing w:after="60" w:before="0"/>
        <w:jc w:val="center"/>
      </w:pPr>
      <w:r>
        <w:rPr>
          <w:rFonts w:ascii="Arial" w:cs="Arial" w:eastAsia="Arial" w:hAnsi="Arial"/>
          <w:i/>
          <w:iCs/>
          <w:color w:val="444444"/>
          <w:sz w:val="22"/>
          <w:szCs w:val="22"/>
        </w:rPr>
        <w:t xml:space="preserve">Training Loop Integration: tern-core Compression Pipeline → Gamma Platform Confidence Propagation Layers</w:t>
      </w:r>
    </w:p>
    <w:p>
      <w:pPr>
        <w:spacing w:after="40" w:before="0"/>
        <w:jc w:val="center"/>
      </w:pPr>
      <w:r>
        <w:rPr>
          <w:rFonts w:ascii="Arial" w:cs="Arial" w:eastAsia="Arial" w:hAnsi="Arial"/>
          <w:color w:val="888888"/>
          <w:sz w:val="20"/>
          <w:szCs w:val="20"/>
        </w:rPr>
        <w:t xml:space="preserve">Document Reference: SPEC-TFH-001    |   Version: 0.1.0    |   April 2026</w:t>
      </w:r>
    </w:p>
    <w:p>
      <w:pPr>
        <w:spacing w:after="20" w:before="0"/>
        <w:jc w:val="center"/>
      </w:pPr>
      <w:r>
        <w:rPr>
          <w:rFonts w:ascii="Arial" w:cs="Arial" w:eastAsia="Arial" w:hAnsi="Arial"/>
          <w:i/>
          <w:iCs/>
          <w:color w:val="888888"/>
          <w:sz w:val="20"/>
          <w:szCs w:val="20"/>
        </w:rPr>
        <w:t xml:space="preserve">Classification: Internal — Technical Build Target</w:t>
      </w:r>
    </w:p>
    <w:p>
      <w:pPr>
        <w:pBdr>
          <w:bottom w:val="single" w:color="1A6B6B" w:sz="6" w:space="1"/>
        </w:pBdr>
        <w:spacing w:after="40" w:before="40"/>
      </w:pPr>
      <w:r>
        <w:t xml:space="preserve"/>
      </w:r>
    </w:p>
    <w:p>
      <w:pPr>
        <w:spacing w:after="0" w:before="120"/>
      </w:pPr>
      <w:r>
        <w:t xml:space="preserve"/>
      </w:r>
    </w:p>
    <w:p>
      <w:pPr>
        <w:pStyle w:val="Heading2"/>
        <w:pBdr>
          <w:bottom w:val="single" w:color="1A6B6B" w:sz="4" w:space="4"/>
        </w:pBdr>
        <w:spacing w:after="120" w:before="280"/>
      </w:pPr>
      <w:r>
        <w:rPr>
          <w:rFonts w:ascii="Arial" w:cs="Arial" w:eastAsia="Arial" w:hAnsi="Arial"/>
          <w:b/>
          <w:bCs/>
          <w:color w:val="1A6B6B"/>
          <w:sz w:val="28"/>
          <w:szCs w:val="28"/>
        </w:rPr>
        <w:t xml:space="preserve">1. Purpose and Scope</w:t>
      </w:r>
    </w:p>
    <w:p>
      <w:pPr>
        <w:spacing w:after="120" w:before="80"/>
      </w:pPr>
      <w:r>
        <w:rPr>
          <w:rFonts w:ascii="Arial" w:cs="Arial" w:eastAsia="Arial" w:hAnsi="Arial"/>
          <w:b w:val="false"/>
          <w:bCs w:val="false"/>
          <w:i w:val="false"/>
          <w:iCs w:val="false"/>
          <w:color w:val="1A1A1A"/>
          <w:sz w:val="24"/>
          <w:szCs w:val="24"/>
        </w:rPr>
        <w:t xml:space="preserve">This specification defines the architecture, interfaces, and training protocol for the Ternary-Aware Fine-Tuning Harness (TFH). The TFH is the training layer that bridges tern-core's weight compression pipeline with the Gamma Platform's confidence propagation stack. It establishes the first end-to-end training loop in which epistemic confidence is a first-class training objective, not a post-hoc annotation.</w:t>
      </w:r>
    </w:p>
    <w:p>
      <w:pPr>
        <w:spacing w:after="0" w:before="60"/>
      </w:pPr>
      <w:r>
        <w:t xml:space="preserve"/>
      </w:r>
    </w:p>
    <w:p>
      <w:pPr>
        <w:spacing w:after="120" w:before="80"/>
      </w:pPr>
      <w:r>
        <w:rPr>
          <w:rFonts w:ascii="Arial" w:cs="Arial" w:eastAsia="Arial" w:hAnsi="Arial"/>
          <w:b w:val="false"/>
          <w:bCs w:val="false"/>
          <w:i w:val="false"/>
          <w:iCs w:val="false"/>
          <w:color w:val="1A1A1A"/>
          <w:sz w:val="24"/>
          <w:szCs w:val="24"/>
        </w:rPr>
        <w:t xml:space="preserve">The TFH serves two purposes simultaneously. As a build target for CC (Claude Code on synapticode.local), it provides a precise architectural specification that can be implemented directly within the existing tern-core and Gamma Platform monorepo. As a technical annex for the KAIST introduction pathway and the KSGC programme engagement, it demonstrates that the Gamma Seeds stack has moved beyond theoretical architecture into a concrete, implementable training regime with novelty at each layer.</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1A6B6B"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Design Principle</w:t>
            </w:r>
          </w:p>
        </w:tc>
        <w:tc>
          <w:tcPr>
            <w:tcW w:type="dxa" w:w="7838"/>
            <w:tcBorders>
              <w:top w:val="single" w:color="CCCCCC" w:sz="1"/>
              <w:left w:val="single" w:color="CCCCCC" w:sz="1"/>
              <w:bottom w:val="single" w:color="CCCCCC" w:sz="1"/>
              <w:right w:val="single" w:color="CCCCCC" w:sz="1"/>
            </w:tcBorders>
            <w:shd w:fill="E8F4F4" w:val="clear"/>
            <w:tcMar>
              <w:top w:type="dxa" w:w="100"/>
              <w:left w:type="dxa" w:w="140"/>
              <w:bottom w:type="dxa" w:w="100"/>
              <w:right w:type="dxa" w:w="140"/>
            </w:tcMar>
          </w:tcPr>
          <w:p>
            <w:r>
              <w:rPr>
                <w:rFonts w:ascii="Arial" w:cs="Arial" w:eastAsia="Arial" w:hAnsi="Arial"/>
                <w:color w:val="1A1A1A"/>
                <w:sz w:val="22"/>
                <w:szCs w:val="22"/>
              </w:rPr>
              <w:t xml:space="preserve">Every training step must produce not only a weight update and a loss value, but a confidence triple: a ternary epistemic annotation of (confirmed, disconfirmed, uncertain) attached to each updated weight cluster. The loss function is extended to penalise miscalibrated confidence, not only miscalibrated predictions.</w:t>
            </w:r>
          </w:p>
        </w:tc>
      </w:tr>
    </w:tbl>
    <w:p>
      <w:pPr>
        <w:spacing w:after="0" w:before="120"/>
      </w:pPr>
      <w:r>
        <w:t xml:space="preserve"/>
      </w:r>
    </w:p>
    <w:p>
      <w:pPr>
        <w:pStyle w:val="Heading2"/>
        <w:pBdr>
          <w:bottom w:val="single" w:color="1A6B6B" w:sz="4" w:space="4"/>
        </w:pBdr>
        <w:spacing w:after="120" w:before="280"/>
      </w:pPr>
      <w:r>
        <w:rPr>
          <w:rFonts w:ascii="Arial" w:cs="Arial" w:eastAsia="Arial" w:hAnsi="Arial"/>
          <w:b/>
          <w:bCs/>
          <w:color w:val="1A6B6B"/>
          <w:sz w:val="28"/>
          <w:szCs w:val="28"/>
        </w:rPr>
        <w:t xml:space="preserve">2. Background and Motivation</w:t>
      </w:r>
    </w:p>
    <w:p>
      <w:pPr>
        <w:pStyle w:val="Heading3"/>
        <w:spacing w:after="80" w:before="200"/>
      </w:pPr>
      <w:r>
        <w:rPr>
          <w:rFonts w:ascii="Arial" w:cs="Arial" w:eastAsia="Arial" w:hAnsi="Arial"/>
          <w:b/>
          <w:bCs/>
          <w:color w:val="C47A00"/>
          <w:sz w:val="26"/>
          <w:szCs w:val="26"/>
        </w:rPr>
        <w:t xml:space="preserve">2.1 The tern-core Baseline</w:t>
      </w:r>
    </w:p>
    <w:p>
      <w:pPr>
        <w:spacing w:after="120" w:before="80"/>
      </w:pPr>
      <w:r>
        <w:rPr>
          <w:rFonts w:ascii="Arial" w:cs="Arial" w:eastAsia="Arial" w:hAnsi="Arial"/>
          <w:b w:val="false"/>
          <w:bCs w:val="false"/>
          <w:i w:val="false"/>
          <w:iCs w:val="false"/>
          <w:color w:val="1A1A1A"/>
          <w:sz w:val="24"/>
          <w:szCs w:val="24"/>
        </w:rPr>
        <w:t xml:space="preserve">tern-core v0.2.0 implements a full pipeline from LLM weight tensors to the ternary weight format, with perplexity-gated autoscan, a fixed KV cache (O(n²) to cached), and published results including Mistral-7B compressed from 14.5GB to 2.27GB at a 96.4% ternary ratio with a ~2.56× KV cache speedup. This pipeline handles the weight-encoding transformation but does not yet incorporate a training loop that targets ternary weight states directly. Post-hoc conversion is the current method: a binary-trained model is compressed to ternary format after training is complete.</w:t>
      </w:r>
    </w:p>
    <w:p>
      <w:pPr>
        <w:spacing w:after="0" w:before="60"/>
      </w:pPr>
      <w:r>
        <w:t xml:space="preserve"/>
      </w:r>
    </w:p>
    <w:p>
      <w:pPr>
        <w:spacing w:after="120" w:before="80"/>
      </w:pPr>
      <w:r>
        <w:rPr>
          <w:rFonts w:ascii="Arial" w:cs="Arial" w:eastAsia="Arial" w:hAnsi="Arial"/>
          <w:b w:val="false"/>
          <w:bCs w:val="false"/>
          <w:i w:val="false"/>
          <w:iCs w:val="false"/>
          <w:color w:val="1A1A1A"/>
          <w:sz w:val="24"/>
          <w:szCs w:val="24"/>
        </w:rPr>
        <w:t xml:space="preserve">The TFH closes this gap by introducing a training loop in which ternary weight targets are native objectives from the first gradient step. This yields models whose weight distributions are shaped by the ternary constraint during training, rather than approximated to ternary after binary training has concluded. The expected outcome is higher model quality at equivalent bit-width, because the model has learned to use the ternary state space efficiently rather than having binary-optimised weights projected onto it.</w:t>
      </w:r>
    </w:p>
    <w:p>
      <w:pPr>
        <w:spacing w:after="0" w:before="80"/>
      </w:pPr>
      <w:r>
        <w:t xml:space="preserve"/>
      </w:r>
    </w:p>
    <w:p>
      <w:pPr>
        <w:pStyle w:val="Heading3"/>
        <w:spacing w:after="80" w:before="200"/>
      </w:pPr>
      <w:r>
        <w:rPr>
          <w:rFonts w:ascii="Arial" w:cs="Arial" w:eastAsia="Arial" w:hAnsi="Arial"/>
          <w:b/>
          <w:bCs/>
          <w:color w:val="C47A00"/>
          <w:sz w:val="26"/>
          <w:szCs w:val="26"/>
        </w:rPr>
        <w:t xml:space="preserve">2.2 The Confidence Propagation Context</w:t>
      </w:r>
    </w:p>
    <w:p>
      <w:pPr>
        <w:spacing w:after="120" w:before="80"/>
      </w:pPr>
      <w:r>
        <w:rPr>
          <w:rFonts w:ascii="Arial" w:cs="Arial" w:eastAsia="Arial" w:hAnsi="Arial"/>
          <w:b w:val="false"/>
          <w:bCs w:val="false"/>
          <w:i w:val="false"/>
          <w:iCs w:val="false"/>
          <w:color w:val="1A1A1A"/>
          <w:sz w:val="24"/>
          <w:szCs w:val="24"/>
        </w:rPr>
        <w:t xml:space="preserve">The Gamma Platform's confidence propagation architecture (TernaryRouter³, ConfidenceQueue³, AgentOrchestrator³, MetaAgent³, ConfidenceEventLog³) operates at inference time: each agent transition carries a ternary epistemic state (confirmed, uncertain, disconfirmed) that routes computation and determines escalation behaviour. This architecture currently receives pre-trained ternary-compressed models as input. The TFH extends this relationship upstream: the confidence propagation vocabulary becomes a training signal, so that models learn the epistemic grammar of the Gamma Platform during fine-tuning rather than being adapted to it purely at inference time.</w:t>
      </w:r>
    </w:p>
    <w:p>
      <w:pPr>
        <w:spacing w:after="0" w:before="60"/>
      </w:pPr>
      <w:r>
        <w:t xml:space="preserve"/>
      </w:r>
    </w:p>
    <w:p>
      <w:pPr>
        <w:spacing w:after="120" w:before="80"/>
      </w:pPr>
      <w:r>
        <w:rPr>
          <w:rFonts w:ascii="Arial" w:cs="Arial" w:eastAsia="Arial" w:hAnsi="Arial"/>
          <w:b w:val="false"/>
          <w:bCs w:val="false"/>
          <w:i w:val="false"/>
          <w:iCs w:val="false"/>
          <w:color w:val="1A1A1A"/>
          <w:sz w:val="24"/>
          <w:szCs w:val="24"/>
        </w:rPr>
        <w:t xml:space="preserve">This upstream connection is the core architectural novelty of the TFH and the primary patentable distinction from existing RLHF, RLAIF, and quantization-aware training frameworks, none of which incorporate epistemic confidence triples as a training objective.</w:t>
      </w:r>
    </w:p>
    <w:p>
      <w:pPr>
        <w:spacing w:after="0" w:before="120"/>
      </w:pPr>
      <w:r>
        <w:t xml:space="preserve"/>
      </w:r>
    </w:p>
    <w:p>
      <w:pPr>
        <w:pStyle w:val="Heading2"/>
        <w:pBdr>
          <w:bottom w:val="single" w:color="1A6B6B" w:sz="4" w:space="4"/>
        </w:pBdr>
        <w:spacing w:after="120" w:before="280"/>
      </w:pPr>
      <w:r>
        <w:rPr>
          <w:rFonts w:ascii="Arial" w:cs="Arial" w:eastAsia="Arial" w:hAnsi="Arial"/>
          <w:b/>
          <w:bCs/>
          <w:color w:val="1A6B6B"/>
          <w:sz w:val="28"/>
          <w:szCs w:val="28"/>
        </w:rPr>
        <w:t xml:space="preserve">3. Harness Architecture</w:t>
      </w:r>
    </w:p>
    <w:p>
      <w:pPr>
        <w:pStyle w:val="Heading3"/>
        <w:spacing w:after="80" w:before="200"/>
      </w:pPr>
      <w:r>
        <w:rPr>
          <w:rFonts w:ascii="Arial" w:cs="Arial" w:eastAsia="Arial" w:hAnsi="Arial"/>
          <w:b/>
          <w:bCs/>
          <w:color w:val="C47A00"/>
          <w:sz w:val="26"/>
          <w:szCs w:val="26"/>
        </w:rPr>
        <w:t xml:space="preserve">3.1 Component Overview</w:t>
      </w:r>
    </w:p>
    <w:p>
      <w:pPr>
        <w:spacing w:after="0" w:before="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c>
          <w:tcPr>
            <w:tcW w:type="dxa" w:w="3212"/>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3212"/>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2"/>
                <w:szCs w:val="22"/>
              </w:rPr>
              <w:t xml:space="preserve">Role</w:t>
            </w:r>
          </w:p>
        </w:tc>
        <w:tc>
          <w:tcPr>
            <w:tcW w:type="dxa" w:w="3214"/>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2"/>
                <w:szCs w:val="22"/>
              </w:rPr>
              <w:t xml:space="preserve">Interfaces With</w:t>
            </w:r>
          </w:p>
        </w:tc>
      </w:tr>
      <w:tr>
        <w:tc>
          <w:tcPr>
            <w:tcW w:type="dxa" w:w="3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TernaryTrainer³</w:t>
            </w:r>
          </w:p>
        </w:tc>
        <w:tc>
          <w:tcPr>
            <w:tcW w:type="dxa" w:w="3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Orchestrates the training loop; manages gradient accumulation, ternary projection, and confidence loss computation</w:t>
            </w:r>
          </w:p>
        </w:tc>
        <w:tc>
          <w:tcPr>
            <w:tcW w:type="dxa" w:w="32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tern-core weight encoder, ConfidenceObjective³</w:t>
            </w:r>
          </w:p>
        </w:tc>
      </w:tr>
      <w:tr>
        <w:tc>
          <w:tcPr>
            <w:tcW w:type="dxa" w:w="321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TernaryProjector³</w:t>
            </w:r>
          </w:p>
        </w:tc>
        <w:tc>
          <w:tcPr>
            <w:tcW w:type="dxa" w:w="321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Projects floating-point weight gradients onto the ternary state space {-1, 0, +1} during the forward and backward passes</w:t>
            </w:r>
          </w:p>
        </w:tc>
        <w:tc>
          <w:tcPr>
            <w:tcW w:type="dxa" w:w="321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TernaryTrainer³, tern-core TernaryEncoder</w:t>
            </w:r>
          </w:p>
        </w:tc>
      </w:tr>
      <w:tr>
        <w:tc>
          <w:tcPr>
            <w:tcW w:type="dxa" w:w="3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ConfidenceObjective³</w:t>
            </w:r>
          </w:p>
        </w:tc>
        <w:tc>
          <w:tcPr>
            <w:tcW w:type="dxa" w:w="3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Computes the composite loss: standard task loss + confidence calibration penalty + ternary sparsity regulariser</w:t>
            </w:r>
          </w:p>
        </w:tc>
        <w:tc>
          <w:tcPr>
            <w:tcW w:type="dxa" w:w="32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TernaryTrainer³, ConfidenceQueue³</w:t>
            </w:r>
          </w:p>
        </w:tc>
      </w:tr>
      <w:tr>
        <w:tc>
          <w:tcPr>
            <w:tcW w:type="dxa" w:w="321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EpistemicAnnotator³</w:t>
            </w:r>
          </w:p>
        </w:tc>
        <w:tc>
          <w:tcPr>
            <w:tcW w:type="dxa" w:w="321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Attaches ternary confidence triples to weight clusters after each update step; writes to ConfidenceEventLog³</w:t>
            </w:r>
          </w:p>
        </w:tc>
        <w:tc>
          <w:tcPr>
            <w:tcW w:type="dxa" w:w="321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TernaryTrainer³, ConfidenceEventLog³</w:t>
            </w:r>
          </w:p>
        </w:tc>
      </w:tr>
      <w:tr>
        <w:tc>
          <w:tcPr>
            <w:tcW w:type="dxa" w:w="3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AdaptationScheduler³</w:t>
            </w:r>
          </w:p>
        </w:tc>
        <w:tc>
          <w:tcPr>
            <w:tcW w:type="dxa" w:w="3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Controls the annealing schedule for the ternary projection temperature and the confidence loss weighting across training steps</w:t>
            </w:r>
          </w:p>
        </w:tc>
        <w:tc>
          <w:tcPr>
            <w:tcW w:type="dxa" w:w="32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TernaryTrainer³</w:t>
            </w:r>
          </w:p>
        </w:tc>
      </w:tr>
      <w:tr>
        <w:tc>
          <w:tcPr>
            <w:tcW w:type="dxa" w:w="321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HarnessCheckpointer³</w:t>
            </w:r>
          </w:p>
        </w:tc>
        <w:tc>
          <w:tcPr>
            <w:tcW w:type="dxa" w:w="321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Persists model state, confidence annotations, and training metadata in the .see3 format for session continuity</w:t>
            </w:r>
          </w:p>
        </w:tc>
        <w:tc>
          <w:tcPr>
            <w:tcW w:type="dxa" w:w="321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TernaryTrainer³, Gamma Platform storage layer</w:t>
            </w:r>
          </w:p>
        </w:tc>
      </w:tr>
    </w:tbl>
    <w:p>
      <w:pPr>
        <w:spacing w:after="0" w:before="120"/>
      </w:pPr>
      <w:r>
        <w:t xml:space="preserve"/>
      </w:r>
    </w:p>
    <w:p>
      <w:pPr>
        <w:pStyle w:val="Heading3"/>
        <w:spacing w:after="80" w:before="200"/>
      </w:pPr>
      <w:r>
        <w:rPr>
          <w:rFonts w:ascii="Arial" w:cs="Arial" w:eastAsia="Arial" w:hAnsi="Arial"/>
          <w:b/>
          <w:bCs/>
          <w:color w:val="C47A00"/>
          <w:sz w:val="26"/>
          <w:szCs w:val="26"/>
        </w:rPr>
        <w:t xml:space="preserve">3.2 The Training Loop</w:t>
      </w:r>
    </w:p>
    <w:p>
      <w:pPr>
        <w:spacing w:after="120" w:before="80"/>
      </w:pPr>
      <w:r>
        <w:rPr>
          <w:rFonts w:ascii="Arial" w:cs="Arial" w:eastAsia="Arial" w:hAnsi="Arial"/>
          <w:b w:val="false"/>
          <w:bCs w:val="false"/>
          <w:i w:val="false"/>
          <w:iCs w:val="false"/>
          <w:color w:val="1A1A1A"/>
          <w:sz w:val="24"/>
          <w:szCs w:val="24"/>
        </w:rPr>
        <w:t xml:space="preserve">The TFH training loop extends the standard forward-backward-update cycle with three additional operations at each step. The loop is designed to run on Apple MLX on the Mac Mini M4 Pro (64GB unified memory) for models up to the 7B-13B parameter class, and to scale to cloud inference for larger models.</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A8E6CF"/>
                <w:sz w:val="18"/>
                <w:szCs w:val="18"/>
              </w:rPr>
              <w:t xml:space="preserve">TernaryTrainer³.step(batch):</w:t>
            </w:r>
          </w:p>
          <w:p>
            <w:pPr>
              <w:spacing w:after="20" w:before="20"/>
            </w:pPr>
            <w:r>
              <w:rPr>
                <w:rFonts w:ascii="Courier New" w:cs="Courier New" w:eastAsia="Courier New" w:hAnsi="Courier New"/>
                <w:color w:val="A8E6CF"/>
                <w:sz w:val="18"/>
                <w:szCs w:val="18"/>
              </w:rPr>
              <w:t xml:space="preserve"> </w:t>
            </w:r>
          </w:p>
          <w:p>
            <w:pPr>
              <w:spacing w:after="20" w:before="20"/>
            </w:pPr>
            <w:r>
              <w:rPr>
                <w:rFonts w:ascii="Courier New" w:cs="Courier New" w:eastAsia="Courier New" w:hAnsi="Courier New"/>
                <w:color w:val="A8E6CF"/>
                <w:sz w:val="18"/>
                <w:szCs w:val="18"/>
              </w:rPr>
              <w:t xml:space="preserve">  # --- Standard forward pass ---</w:t>
            </w:r>
          </w:p>
          <w:p>
            <w:pPr>
              <w:spacing w:after="20" w:before="20"/>
            </w:pPr>
            <w:r>
              <w:rPr>
                <w:rFonts w:ascii="Courier New" w:cs="Courier New" w:eastAsia="Courier New" w:hAnsi="Courier New"/>
                <w:color w:val="A8E6CF"/>
                <w:sz w:val="18"/>
                <w:szCs w:val="18"/>
              </w:rPr>
              <w:t xml:space="preserve">  logits = model.forward(batch.inputs)</w:t>
            </w:r>
          </w:p>
          <w:p>
            <w:pPr>
              <w:spacing w:after="20" w:before="20"/>
            </w:pPr>
            <w:r>
              <w:rPr>
                <w:rFonts w:ascii="Courier New" w:cs="Courier New" w:eastAsia="Courier New" w:hAnsi="Courier New"/>
                <w:color w:val="A8E6CF"/>
                <w:sz w:val="18"/>
                <w:szCs w:val="18"/>
              </w:rPr>
              <w:t xml:space="preserve">  task_loss = cross_entropy(logits, batch.targets)</w:t>
            </w:r>
          </w:p>
          <w:p>
            <w:pPr>
              <w:spacing w:after="20" w:before="20"/>
            </w:pPr>
            <w:r>
              <w:rPr>
                <w:rFonts w:ascii="Courier New" w:cs="Courier New" w:eastAsia="Courier New" w:hAnsi="Courier New"/>
                <w:color w:val="A8E6CF"/>
                <w:sz w:val="18"/>
                <w:szCs w:val="18"/>
              </w:rPr>
              <w:t xml:space="preserve"> </w:t>
            </w:r>
          </w:p>
          <w:p>
            <w:pPr>
              <w:spacing w:after="20" w:before="20"/>
            </w:pPr>
            <w:r>
              <w:rPr>
                <w:rFonts w:ascii="Courier New" w:cs="Courier New" w:eastAsia="Courier New" w:hAnsi="Courier New"/>
                <w:color w:val="A8E6CF"/>
                <w:sz w:val="18"/>
                <w:szCs w:val="18"/>
              </w:rPr>
              <w:t xml:space="preserve">  # --- Ternary confidence forward pass ---</w:t>
            </w:r>
          </w:p>
          <w:p>
            <w:pPr>
              <w:spacing w:after="20" w:before="20"/>
            </w:pPr>
            <w:r>
              <w:rPr>
                <w:rFonts w:ascii="Courier New" w:cs="Courier New" w:eastAsia="Courier New" w:hAnsi="Courier New"/>
                <w:color w:val="A8E6CF"/>
                <w:sz w:val="18"/>
                <w:szCs w:val="18"/>
              </w:rPr>
              <w:t xml:space="preserve">  weight_clusters = TernaryProjector³.cluster(model.weights)</w:t>
            </w:r>
          </w:p>
          <w:p>
            <w:pPr>
              <w:spacing w:after="20" w:before="20"/>
            </w:pPr>
            <w:r>
              <w:rPr>
                <w:rFonts w:ascii="Courier New" w:cs="Courier New" w:eastAsia="Courier New" w:hAnsi="Courier New"/>
                <w:color w:val="A8E6CF"/>
                <w:sz w:val="18"/>
                <w:szCs w:val="18"/>
              </w:rPr>
              <w:t xml:space="preserve">  confidence_triples = EpistemicAnnotator³.annotate(weight_clusters)</w:t>
            </w:r>
          </w:p>
          <w:p>
            <w:pPr>
              <w:spacing w:after="20" w:before="20"/>
            </w:pPr>
            <w:r>
              <w:rPr>
                <w:rFonts w:ascii="Courier New" w:cs="Courier New" w:eastAsia="Courier New" w:hAnsi="Courier New"/>
                <w:color w:val="A8E6CF"/>
                <w:sz w:val="18"/>
                <w:szCs w:val="18"/>
              </w:rPr>
              <w:t xml:space="preserve">  confidence_loss = ConfidenceObjective³.compute(</w:t>
            </w:r>
          </w:p>
          <w:p>
            <w:pPr>
              <w:spacing w:after="20" w:before="20"/>
            </w:pPr>
            <w:r>
              <w:rPr>
                <w:rFonts w:ascii="Courier New" w:cs="Courier New" w:eastAsia="Courier New" w:hAnsi="Courier New"/>
                <w:color w:val="A8E6CF"/>
                <w:sz w:val="18"/>
                <w:szCs w:val="18"/>
              </w:rPr>
              <w:t xml:space="preserve">      confidence_triples,</w:t>
            </w:r>
          </w:p>
          <w:p>
            <w:pPr>
              <w:spacing w:after="20" w:before="20"/>
            </w:pPr>
            <w:r>
              <w:rPr>
                <w:rFonts w:ascii="Courier New" w:cs="Courier New" w:eastAsia="Courier New" w:hAnsi="Courier New"/>
                <w:color w:val="A8E6CF"/>
                <w:sz w:val="18"/>
                <w:szCs w:val="18"/>
              </w:rPr>
              <w:t xml:space="preserve">      batch.epistemic_labels,    # ground-truth confidence annotations</w:t>
            </w:r>
          </w:p>
          <w:p>
            <w:pPr>
              <w:spacing w:after="20" w:before="20"/>
            </w:pPr>
            <w:r>
              <w:rPr>
                <w:rFonts w:ascii="Courier New" w:cs="Courier New" w:eastAsia="Courier New" w:hAnsi="Courier New"/>
                <w:color w:val="A8E6CF"/>
                <w:sz w:val="18"/>
                <w:szCs w:val="18"/>
              </w:rPr>
              <w:t xml:space="preserve">      sparsity_target=0.90       # target ternary sparsity ratio</w:t>
            </w:r>
          </w:p>
          <w:p>
            <w:pPr>
              <w:spacing w:after="20" w:before="20"/>
            </w:pPr>
            <w:r>
              <w:rPr>
                <w:rFonts w:ascii="Courier New" w:cs="Courier New" w:eastAsia="Courier New" w:hAnsi="Courier New"/>
                <w:color w:val="A8E6CF"/>
                <w:sz w:val="18"/>
                <w:szCs w:val="18"/>
              </w:rPr>
              <w:t xml:space="preserve">  )</w:t>
            </w:r>
          </w:p>
          <w:p>
            <w:pPr>
              <w:spacing w:after="20" w:before="20"/>
            </w:pPr>
            <w:r>
              <w:rPr>
                <w:rFonts w:ascii="Courier New" w:cs="Courier New" w:eastAsia="Courier New" w:hAnsi="Courier New"/>
                <w:color w:val="A8E6CF"/>
                <w:sz w:val="18"/>
                <w:szCs w:val="18"/>
              </w:rPr>
              <w:t xml:space="preserve"> </w:t>
            </w:r>
          </w:p>
          <w:p>
            <w:pPr>
              <w:spacing w:after="20" w:before="20"/>
            </w:pPr>
            <w:r>
              <w:rPr>
                <w:rFonts w:ascii="Courier New" w:cs="Courier New" w:eastAsia="Courier New" w:hAnsi="Courier New"/>
                <w:color w:val="A8E6CF"/>
                <w:sz w:val="18"/>
                <w:szCs w:val="18"/>
              </w:rPr>
              <w:t xml:space="preserve">  # --- Composite loss ---</w:t>
            </w:r>
          </w:p>
          <w:p>
            <w:pPr>
              <w:spacing w:after="20" w:before="20"/>
            </w:pPr>
            <w:r>
              <w:rPr>
                <w:rFonts w:ascii="Courier New" w:cs="Courier New" w:eastAsia="Courier New" w:hAnsi="Courier New"/>
                <w:color w:val="A8E6CF"/>
                <w:sz w:val="18"/>
                <w:szCs w:val="18"/>
              </w:rPr>
              <w:t xml:space="preserve">  alpha = AdaptationScheduler³.alpha(step)   # anneals 0.0 -&gt; 1.0</w:t>
            </w:r>
          </w:p>
          <w:p>
            <w:pPr>
              <w:spacing w:after="20" w:before="20"/>
            </w:pPr>
            <w:r>
              <w:rPr>
                <w:rFonts w:ascii="Courier New" w:cs="Courier New" w:eastAsia="Courier New" w:hAnsi="Courier New"/>
                <w:color w:val="A8E6CF"/>
                <w:sz w:val="18"/>
                <w:szCs w:val="18"/>
              </w:rPr>
              <w:t xml:space="preserve">  total_loss = task_loss + alpha * confidence_loss</w:t>
            </w:r>
          </w:p>
          <w:p>
            <w:pPr>
              <w:spacing w:after="20" w:before="20"/>
            </w:pPr>
            <w:r>
              <w:rPr>
                <w:rFonts w:ascii="Courier New" w:cs="Courier New" w:eastAsia="Courier New" w:hAnsi="Courier New"/>
                <w:color w:val="A8E6CF"/>
                <w:sz w:val="18"/>
                <w:szCs w:val="18"/>
              </w:rPr>
              <w:t xml:space="preserve"> </w:t>
            </w:r>
          </w:p>
          <w:p>
            <w:pPr>
              <w:spacing w:after="20" w:before="20"/>
            </w:pPr>
            <w:r>
              <w:rPr>
                <w:rFonts w:ascii="Courier New" w:cs="Courier New" w:eastAsia="Courier New" w:hAnsi="Courier New"/>
                <w:color w:val="A8E6CF"/>
                <w:sz w:val="18"/>
                <w:szCs w:val="18"/>
              </w:rPr>
              <w:t xml:space="preserve">  # --- Backward pass and ternary-constrained update ---</w:t>
            </w:r>
          </w:p>
          <w:p>
            <w:pPr>
              <w:spacing w:after="20" w:before="20"/>
            </w:pPr>
            <w:r>
              <w:rPr>
                <w:rFonts w:ascii="Courier New" w:cs="Courier New" w:eastAsia="Courier New" w:hAnsi="Courier New"/>
                <w:color w:val="A8E6CF"/>
                <w:sz w:val="18"/>
                <w:szCs w:val="18"/>
              </w:rPr>
              <w:t xml:space="preserve">  grads = total_loss.backward()</w:t>
            </w:r>
          </w:p>
          <w:p>
            <w:pPr>
              <w:spacing w:after="20" w:before="20"/>
            </w:pPr>
            <w:r>
              <w:rPr>
                <w:rFonts w:ascii="Courier New" w:cs="Courier New" w:eastAsia="Courier New" w:hAnsi="Courier New"/>
                <w:color w:val="A8E6CF"/>
                <w:sz w:val="18"/>
                <w:szCs w:val="18"/>
              </w:rPr>
              <w:t xml:space="preserve">  projected_grads = TernaryProjector³.project(grads, temperature=scheduler.tau)</w:t>
            </w:r>
          </w:p>
          <w:p>
            <w:pPr>
              <w:spacing w:after="20" w:before="20"/>
            </w:pPr>
            <w:r>
              <w:rPr>
                <w:rFonts w:ascii="Courier New" w:cs="Courier New" w:eastAsia="Courier New" w:hAnsi="Courier New"/>
                <w:color w:val="A8E6CF"/>
                <w:sz w:val="18"/>
                <w:szCs w:val="18"/>
              </w:rPr>
              <w:t xml:space="preserve">  optimiser.step(projected_grads)</w:t>
            </w:r>
          </w:p>
          <w:p>
            <w:pPr>
              <w:spacing w:after="20" w:before="20"/>
            </w:pPr>
            <w:r>
              <w:rPr>
                <w:rFonts w:ascii="Courier New" w:cs="Courier New" w:eastAsia="Courier New" w:hAnsi="Courier New"/>
                <w:color w:val="A8E6CF"/>
                <w:sz w:val="18"/>
                <w:szCs w:val="18"/>
              </w:rPr>
              <w:t xml:space="preserve"> </w:t>
            </w:r>
          </w:p>
          <w:p>
            <w:pPr>
              <w:spacing w:after="20" w:before="20"/>
            </w:pPr>
            <w:r>
              <w:rPr>
                <w:rFonts w:ascii="Courier New" w:cs="Courier New" w:eastAsia="Courier New" w:hAnsi="Courier New"/>
                <w:color w:val="A8E6CF"/>
                <w:sz w:val="18"/>
                <w:szCs w:val="18"/>
              </w:rPr>
              <w:t xml:space="preserve">  # --- Confidence annotation and logging ---</w:t>
            </w:r>
          </w:p>
          <w:p>
            <w:pPr>
              <w:spacing w:after="20" w:before="20"/>
            </w:pPr>
            <w:r>
              <w:rPr>
                <w:rFonts w:ascii="Courier New" w:cs="Courier New" w:eastAsia="Courier New" w:hAnsi="Courier New"/>
                <w:color w:val="A8E6CF"/>
                <w:sz w:val="18"/>
                <w:szCs w:val="18"/>
              </w:rPr>
              <w:t xml:space="preserve">  EpistemicAnnotator³.update(model.weights, confidence_triples)</w:t>
            </w:r>
          </w:p>
          <w:p>
            <w:pPr>
              <w:spacing w:after="20" w:before="20"/>
            </w:pPr>
            <w:r>
              <w:rPr>
                <w:rFonts w:ascii="Courier New" w:cs="Courier New" w:eastAsia="Courier New" w:hAnsi="Courier New"/>
                <w:color w:val="A8E6CF"/>
                <w:sz w:val="18"/>
                <w:szCs w:val="18"/>
              </w:rPr>
              <w:t xml:space="preserve">  ConfidenceEventLog³.write(step, total_loss, confidence_triples)</w:t>
            </w:r>
          </w:p>
          <w:p>
            <w:pPr>
              <w:spacing w:after="20" w:before="20"/>
            </w:pPr>
            <w:r>
              <w:rPr>
                <w:rFonts w:ascii="Courier New" w:cs="Courier New" w:eastAsia="Courier New" w:hAnsi="Courier New"/>
                <w:color w:val="A8E6CF"/>
                <w:sz w:val="18"/>
                <w:szCs w:val="18"/>
              </w:rPr>
              <w:t xml:space="preserve">  HarnessCheckpointer³.save_if_due(step, model, confidence_triples)</w:t>
            </w:r>
          </w:p>
        </w:tc>
      </w:tr>
    </w:tbl>
    <w:p>
      <w:pPr>
        <w:spacing w:after="0" w:before="120"/>
      </w:pPr>
      <w:r>
        <w:t xml:space="preserve"/>
      </w:r>
    </w:p>
    <w:p>
      <w:pPr>
        <w:pStyle w:val="Heading3"/>
        <w:spacing w:after="80" w:before="200"/>
      </w:pPr>
      <w:r>
        <w:rPr>
          <w:rFonts w:ascii="Arial" w:cs="Arial" w:eastAsia="Arial" w:hAnsi="Arial"/>
          <w:b/>
          <w:bCs/>
          <w:color w:val="C47A00"/>
          <w:sz w:val="26"/>
          <w:szCs w:val="26"/>
        </w:rPr>
        <w:t xml:space="preserve">3.3 The Ternary Projector</w:t>
      </w:r>
    </w:p>
    <w:p>
      <w:pPr>
        <w:spacing w:after="120" w:before="80"/>
      </w:pPr>
      <w:r>
        <w:rPr>
          <w:rFonts w:ascii="Arial" w:cs="Arial" w:eastAsia="Arial" w:hAnsi="Arial"/>
          <w:b w:val="false"/>
          <w:bCs w:val="false"/>
          <w:i w:val="false"/>
          <w:iCs w:val="false"/>
          <w:color w:val="1A1A1A"/>
          <w:sz w:val="24"/>
          <w:szCs w:val="24"/>
        </w:rPr>
        <w:t xml:space="preserve">TernaryProjector³ is responsible for maintaining the ternary constraint throughout training. Rather than applying ternary quantization as a discrete post-processing step, it uses a soft projection during training that anneals from continuous to discrete as training progresses.</w:t>
      </w:r>
    </w:p>
    <w:p>
      <w:pPr>
        <w:spacing w:after="0" w:before="60"/>
      </w:pPr>
      <w:r>
        <w:t xml:space="preserve"/>
      </w:r>
    </w:p>
    <w:p>
      <w:pPr>
        <w:spacing w:after="120" w:before="80"/>
      </w:pPr>
      <w:r>
        <w:rPr>
          <w:rFonts w:ascii="Arial" w:cs="Arial" w:eastAsia="Arial" w:hAnsi="Arial"/>
          <w:b w:val="false"/>
          <w:bCs w:val="false"/>
          <w:i w:val="false"/>
          <w:iCs w:val="false"/>
          <w:color w:val="1A1A1A"/>
          <w:sz w:val="24"/>
          <w:szCs w:val="24"/>
        </w:rPr>
        <w:t xml:space="preserve">During the early training phase, the projector applies a smooth approximation of the sign function with a high temperature parameter, allowing gradients to flow through the ternary boundary. As AdaptationScheduler³ reduces the temperature across training steps, the projection hardens toward the discrete ternary states {-1, 0, +1}. At inference time, the projection is fully discrete. This approach is analogous to straight-through estimation in conventional binary quantization-aware training, but extended to the three-state case with an explicit zero attractor that enforces sparsity.</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A8E6CF"/>
                <w:sz w:val="18"/>
                <w:szCs w:val="18"/>
              </w:rPr>
              <w:t xml:space="preserve">TernaryProjector³.project(gradients, temperature):</w:t>
            </w:r>
          </w:p>
          <w:p>
            <w:pPr>
              <w:spacing w:after="20" w:before="20"/>
            </w:pPr>
            <w:r>
              <w:rPr>
                <w:rFonts w:ascii="Courier New" w:cs="Courier New" w:eastAsia="Courier New" w:hAnsi="Courier New"/>
                <w:color w:val="A8E6CF"/>
                <w:sz w:val="18"/>
                <w:szCs w:val="18"/>
              </w:rPr>
              <w:t xml:space="preserve"> </w:t>
            </w:r>
          </w:p>
          <w:p>
            <w:pPr>
              <w:spacing w:after="20" w:before="20"/>
            </w:pPr>
            <w:r>
              <w:rPr>
                <w:rFonts w:ascii="Courier New" w:cs="Courier New" w:eastAsia="Courier New" w:hAnsi="Courier New"/>
                <w:color w:val="A8E6CF"/>
                <w:sz w:val="18"/>
                <w:szCs w:val="18"/>
              </w:rPr>
              <w:t xml:space="preserve">  # Soft ternary projection (anneals to hard at temperature -&gt; 0)</w:t>
            </w:r>
          </w:p>
          <w:p>
            <w:pPr>
              <w:spacing w:after="20" w:before="20"/>
            </w:pPr>
            <w:r>
              <w:rPr>
                <w:rFonts w:ascii="Courier New" w:cs="Courier New" w:eastAsia="Courier New" w:hAnsi="Courier New"/>
                <w:color w:val="A8E6CF"/>
                <w:sz w:val="18"/>
                <w:szCs w:val="18"/>
              </w:rPr>
              <w:t xml:space="preserve">  # Positive state:  w &gt;  threshold</w:t>
            </w:r>
          </w:p>
          <w:p>
            <w:pPr>
              <w:spacing w:after="20" w:before="20"/>
            </w:pPr>
            <w:r>
              <w:rPr>
                <w:rFonts w:ascii="Courier New" w:cs="Courier New" w:eastAsia="Courier New" w:hAnsi="Courier New"/>
                <w:color w:val="A8E6CF"/>
                <w:sz w:val="18"/>
                <w:szCs w:val="18"/>
              </w:rPr>
              <w:t xml:space="preserve">  # Zero state:     |w| &lt;= threshold   (enforces sparsity)</w:t>
            </w:r>
          </w:p>
          <w:p>
            <w:pPr>
              <w:spacing w:after="20" w:before="20"/>
            </w:pPr>
            <w:r>
              <w:rPr>
                <w:rFonts w:ascii="Courier New" w:cs="Courier New" w:eastAsia="Courier New" w:hAnsi="Courier New"/>
                <w:color w:val="A8E6CF"/>
                <w:sz w:val="18"/>
                <w:szCs w:val="18"/>
              </w:rPr>
              <w:t xml:space="preserve">  # Negative state:  w &lt; -threshold</w:t>
            </w:r>
          </w:p>
          <w:p>
            <w:pPr>
              <w:spacing w:after="20" w:before="20"/>
            </w:pPr>
            <w:r>
              <w:rPr>
                <w:rFonts w:ascii="Courier New" w:cs="Courier New" w:eastAsia="Courier New" w:hAnsi="Courier New"/>
                <w:color w:val="A8E6CF"/>
                <w:sz w:val="18"/>
                <w:szCs w:val="18"/>
              </w:rPr>
              <w:t xml:space="preserve"> </w:t>
            </w:r>
          </w:p>
          <w:p>
            <w:pPr>
              <w:spacing w:after="20" w:before="20"/>
            </w:pPr>
            <w:r>
              <w:rPr>
                <w:rFonts w:ascii="Courier New" w:cs="Courier New" w:eastAsia="Courier New" w:hAnsi="Courier New"/>
                <w:color w:val="A8E6CF"/>
                <w:sz w:val="18"/>
                <w:szCs w:val="18"/>
              </w:rPr>
              <w:t xml:space="preserve">  threshold = TernaryProjector³.compute_threshold(</w:t>
            </w:r>
          </w:p>
          <w:p>
            <w:pPr>
              <w:spacing w:after="20" w:before="20"/>
            </w:pPr>
            <w:r>
              <w:rPr>
                <w:rFonts w:ascii="Courier New" w:cs="Courier New" w:eastAsia="Courier New" w:hAnsi="Courier New"/>
                <w:color w:val="A8E6CF"/>
                <w:sz w:val="18"/>
                <w:szCs w:val="18"/>
              </w:rPr>
              <w:t xml:space="preserve">      gradients,</w:t>
            </w:r>
          </w:p>
          <w:p>
            <w:pPr>
              <w:spacing w:after="20" w:before="20"/>
            </w:pPr>
            <w:r>
              <w:rPr>
                <w:rFonts w:ascii="Courier New" w:cs="Courier New" w:eastAsia="Courier New" w:hAnsi="Courier New"/>
                <w:color w:val="A8E6CF"/>
                <w:sz w:val="18"/>
                <w:szCs w:val="18"/>
              </w:rPr>
              <w:t xml:space="preserve">      target_sparsity=0.90   # matches tern-core 96.4% result baseline</w:t>
            </w:r>
          </w:p>
          <w:p>
            <w:pPr>
              <w:spacing w:after="20" w:before="20"/>
            </w:pPr>
            <w:r>
              <w:rPr>
                <w:rFonts w:ascii="Courier New" w:cs="Courier New" w:eastAsia="Courier New" w:hAnsi="Courier New"/>
                <w:color w:val="A8E6CF"/>
                <w:sz w:val="18"/>
                <w:szCs w:val="18"/>
              </w:rPr>
              <w:t xml:space="preserve">  )</w:t>
            </w:r>
          </w:p>
          <w:p>
            <w:pPr>
              <w:spacing w:after="20" w:before="20"/>
            </w:pPr>
            <w:r>
              <w:rPr>
                <w:rFonts w:ascii="Courier New" w:cs="Courier New" w:eastAsia="Courier New" w:hAnsi="Courier New"/>
                <w:color w:val="A8E6CF"/>
                <w:sz w:val="18"/>
                <w:szCs w:val="18"/>
              </w:rPr>
              <w:t xml:space="preserve"> </w:t>
            </w:r>
          </w:p>
          <w:p>
            <w:pPr>
              <w:spacing w:after="20" w:before="20"/>
            </w:pPr>
            <w:r>
              <w:rPr>
                <w:rFonts w:ascii="Courier New" w:cs="Courier New" w:eastAsia="Courier New" w:hAnsi="Courier New"/>
                <w:color w:val="A8E6CF"/>
                <w:sz w:val="18"/>
                <w:szCs w:val="18"/>
              </w:rPr>
              <w:t xml:space="preserve">  soft_pos  = sigmoid( (gradients - threshold) / temperature )</w:t>
            </w:r>
          </w:p>
          <w:p>
            <w:pPr>
              <w:spacing w:after="20" w:before="20"/>
            </w:pPr>
            <w:r>
              <w:rPr>
                <w:rFonts w:ascii="Courier New" w:cs="Courier New" w:eastAsia="Courier New" w:hAnsi="Courier New"/>
                <w:color w:val="A8E6CF"/>
                <w:sz w:val="18"/>
                <w:szCs w:val="18"/>
              </w:rPr>
              <w:t xml:space="preserve">  soft_neg  = sigmoid( (gradients + threshold) / temperature ) - 1.0</w:t>
            </w:r>
          </w:p>
          <w:p>
            <w:pPr>
              <w:spacing w:after="20" w:before="20"/>
            </w:pPr>
            <w:r>
              <w:rPr>
                <w:rFonts w:ascii="Courier New" w:cs="Courier New" w:eastAsia="Courier New" w:hAnsi="Courier New"/>
                <w:color w:val="A8E6CF"/>
                <w:sz w:val="18"/>
                <w:szCs w:val="18"/>
              </w:rPr>
              <w:t xml:space="preserve">  soft_zero = 1.0 - soft_pos - abs(soft_neg)</w:t>
            </w:r>
          </w:p>
          <w:p>
            <w:pPr>
              <w:spacing w:after="20" w:before="20"/>
            </w:pPr>
            <w:r>
              <w:rPr>
                <w:rFonts w:ascii="Courier New" w:cs="Courier New" w:eastAsia="Courier New" w:hAnsi="Courier New"/>
                <w:color w:val="A8E6CF"/>
                <w:sz w:val="18"/>
                <w:szCs w:val="18"/>
              </w:rPr>
              <w:t xml:space="preserve"> </w:t>
            </w:r>
          </w:p>
          <w:p>
            <w:pPr>
              <w:spacing w:after="20" w:before="20"/>
            </w:pPr>
            <w:r>
              <w:rPr>
                <w:rFonts w:ascii="Courier New" w:cs="Courier New" w:eastAsia="Courier New" w:hAnsi="Courier New"/>
                <w:color w:val="A8E6CF"/>
                <w:sz w:val="18"/>
                <w:szCs w:val="18"/>
              </w:rPr>
              <w:t xml:space="preserve">  # Weighted blend: hardens as temperature -&gt; 0</w:t>
            </w:r>
          </w:p>
          <w:p>
            <w:pPr>
              <w:spacing w:after="20" w:before="20"/>
            </w:pPr>
            <w:r>
              <w:rPr>
                <w:rFonts w:ascii="Courier New" w:cs="Courier New" w:eastAsia="Courier New" w:hAnsi="Courier New"/>
                <w:color w:val="A8E6CF"/>
                <w:sz w:val="18"/>
                <w:szCs w:val="18"/>
              </w:rPr>
              <w:t xml:space="preserve">  projected = hard_sign(gradients, threshold) * (1 - temperature)             + soft_blend(soft_pos, soft_neg, soft_zero) * temperature</w:t>
            </w:r>
          </w:p>
          <w:p>
            <w:pPr>
              <w:spacing w:after="20" w:before="20"/>
            </w:pPr>
            <w:r>
              <w:rPr>
                <w:rFonts w:ascii="Courier New" w:cs="Courier New" w:eastAsia="Courier New" w:hAnsi="Courier New"/>
                <w:color w:val="A8E6CF"/>
                <w:sz w:val="18"/>
                <w:szCs w:val="18"/>
              </w:rPr>
              <w:t xml:space="preserve"> </w:t>
            </w:r>
          </w:p>
          <w:p>
            <w:pPr>
              <w:spacing w:after="20" w:before="20"/>
            </w:pPr>
            <w:r>
              <w:rPr>
                <w:rFonts w:ascii="Courier New" w:cs="Courier New" w:eastAsia="Courier New" w:hAnsi="Courier New"/>
                <w:color w:val="A8E6CF"/>
                <w:sz w:val="18"/>
                <w:szCs w:val="18"/>
              </w:rPr>
              <w:t xml:space="preserve">  return projected</w:t>
            </w:r>
          </w:p>
        </w:tc>
      </w:tr>
    </w:tbl>
    <w:p>
      <w:pPr>
        <w:spacing w:after="0" w:before="120"/>
      </w:pPr>
      <w:r>
        <w:t xml:space="preserve"/>
      </w:r>
    </w:p>
    <w:p>
      <w:pPr>
        <w:pStyle w:val="Heading3"/>
        <w:spacing w:after="80" w:before="200"/>
      </w:pPr>
      <w:r>
        <w:rPr>
          <w:rFonts w:ascii="Arial" w:cs="Arial" w:eastAsia="Arial" w:hAnsi="Arial"/>
          <w:b/>
          <w:bCs/>
          <w:color w:val="C47A00"/>
          <w:sz w:val="26"/>
          <w:szCs w:val="26"/>
        </w:rPr>
        <w:t xml:space="preserve">3.4 The Confidence Objective</w:t>
      </w:r>
    </w:p>
    <w:p>
      <w:pPr>
        <w:spacing w:after="120" w:before="80"/>
      </w:pPr>
      <w:r>
        <w:rPr>
          <w:rFonts w:ascii="Arial" w:cs="Arial" w:eastAsia="Arial" w:hAnsi="Arial"/>
          <w:b w:val="false"/>
          <w:bCs w:val="false"/>
          <w:i w:val="false"/>
          <w:iCs w:val="false"/>
          <w:color w:val="1A1A1A"/>
          <w:sz w:val="24"/>
          <w:szCs w:val="24"/>
        </w:rPr>
        <w:t xml:space="preserve">ConfidenceObjective³ computes a composite loss function with three terms. The task loss is the standard cross-entropy or task-appropriate objective. The confidence calibration penalty measures the divergence between the model's predicted confidence triples and ground-truth epistemic labels provided in the training dataset. The ternary sparsity regulariser encourages the weight distribution to concentrate on the zero state, driving the ternary sparsity ratio toward the target.</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A8E6CF"/>
                <w:sz w:val="18"/>
                <w:szCs w:val="18"/>
              </w:rPr>
              <w:t xml:space="preserve">ConfidenceObjective³.compute(confidence_triples, epistemic_labels, sparsity_target):</w:t>
            </w:r>
          </w:p>
          <w:p>
            <w:pPr>
              <w:spacing w:after="20" w:before="20"/>
            </w:pPr>
            <w:r>
              <w:rPr>
                <w:rFonts w:ascii="Courier New" w:cs="Courier New" w:eastAsia="Courier New" w:hAnsi="Courier New"/>
                <w:color w:val="A8E6CF"/>
                <w:sz w:val="18"/>
                <w:szCs w:val="18"/>
              </w:rPr>
              <w:t xml:space="preserve"> </w:t>
            </w:r>
          </w:p>
          <w:p>
            <w:pPr>
              <w:spacing w:after="20" w:before="20"/>
            </w:pPr>
            <w:r>
              <w:rPr>
                <w:rFonts w:ascii="Courier New" w:cs="Courier New" w:eastAsia="Courier New" w:hAnsi="Courier New"/>
                <w:color w:val="A8E6CF"/>
                <w:sz w:val="18"/>
                <w:szCs w:val="18"/>
              </w:rPr>
              <w:t xml:space="preserve">  # Confidence calibration: KL divergence between predicted and ground-truth</w:t>
            </w:r>
          </w:p>
          <w:p>
            <w:pPr>
              <w:spacing w:after="20" w:before="20"/>
            </w:pPr>
            <w:r>
              <w:rPr>
                <w:rFonts w:ascii="Courier New" w:cs="Courier New" w:eastAsia="Courier New" w:hAnsi="Courier New"/>
                <w:color w:val="A8E6CF"/>
                <w:sz w:val="18"/>
                <w:szCs w:val="18"/>
              </w:rPr>
              <w:t xml:space="preserve">  # epistemic distributions over {confirmed, uncertain, disconfirmed}</w:t>
            </w:r>
          </w:p>
          <w:p>
            <w:pPr>
              <w:spacing w:after="20" w:before="20"/>
            </w:pPr>
            <w:r>
              <w:rPr>
                <w:rFonts w:ascii="Courier New" w:cs="Courier New" w:eastAsia="Courier New" w:hAnsi="Courier New"/>
                <w:color w:val="A8E6CF"/>
                <w:sz w:val="18"/>
                <w:szCs w:val="18"/>
              </w:rPr>
              <w:t xml:space="preserve">  calibration_penalty = KL_divergence(</w:t>
            </w:r>
          </w:p>
          <w:p>
            <w:pPr>
              <w:spacing w:after="20" w:before="20"/>
            </w:pPr>
            <w:r>
              <w:rPr>
                <w:rFonts w:ascii="Courier New" w:cs="Courier New" w:eastAsia="Courier New" w:hAnsi="Courier New"/>
                <w:color w:val="A8E6CF"/>
                <w:sz w:val="18"/>
                <w:szCs w:val="18"/>
              </w:rPr>
              <w:t xml:space="preserve">      predicted  = softmax(confidence_triples),</w:t>
            </w:r>
          </w:p>
          <w:p>
            <w:pPr>
              <w:spacing w:after="20" w:before="20"/>
            </w:pPr>
            <w:r>
              <w:rPr>
                <w:rFonts w:ascii="Courier New" w:cs="Courier New" w:eastAsia="Courier New" w:hAnsi="Courier New"/>
                <w:color w:val="A8E6CF"/>
                <w:sz w:val="18"/>
                <w:szCs w:val="18"/>
              </w:rPr>
              <w:t xml:space="preserve">      target     = epistemic_labels.distribution</w:t>
            </w:r>
          </w:p>
          <w:p>
            <w:pPr>
              <w:spacing w:after="20" w:before="20"/>
            </w:pPr>
            <w:r>
              <w:rPr>
                <w:rFonts w:ascii="Courier New" w:cs="Courier New" w:eastAsia="Courier New" w:hAnsi="Courier New"/>
                <w:color w:val="A8E6CF"/>
                <w:sz w:val="18"/>
                <w:szCs w:val="18"/>
              </w:rPr>
              <w:t xml:space="preserve">  )</w:t>
            </w:r>
          </w:p>
          <w:p>
            <w:pPr>
              <w:spacing w:after="20" w:before="20"/>
            </w:pPr>
            <w:r>
              <w:rPr>
                <w:rFonts w:ascii="Courier New" w:cs="Courier New" w:eastAsia="Courier New" w:hAnsi="Courier New"/>
                <w:color w:val="A8E6CF"/>
                <w:sz w:val="18"/>
                <w:szCs w:val="18"/>
              </w:rPr>
              <w:t xml:space="preserve"> </w:t>
            </w:r>
          </w:p>
          <w:p>
            <w:pPr>
              <w:spacing w:after="20" w:before="20"/>
            </w:pPr>
            <w:r>
              <w:rPr>
                <w:rFonts w:ascii="Courier New" w:cs="Courier New" w:eastAsia="Courier New" w:hAnsi="Courier New"/>
                <w:color w:val="A8E6CF"/>
                <w:sz w:val="18"/>
                <w:szCs w:val="18"/>
              </w:rPr>
              <w:t xml:space="preserve">  # Sparsity regulariser: L1 penalty on non-zero weight activations</w:t>
            </w:r>
          </w:p>
          <w:p>
            <w:pPr>
              <w:spacing w:after="20" w:before="20"/>
            </w:pPr>
            <w:r>
              <w:rPr>
                <w:rFonts w:ascii="Courier New" w:cs="Courier New" w:eastAsia="Courier New" w:hAnsi="Courier New"/>
                <w:color w:val="A8E6CF"/>
                <w:sz w:val="18"/>
                <w:szCs w:val="18"/>
              </w:rPr>
              <w:t xml:space="preserve">  actual_sparsity = count_zeros(confidence_triples) / total_weights</w:t>
            </w:r>
          </w:p>
          <w:p>
            <w:pPr>
              <w:spacing w:after="20" w:before="20"/>
            </w:pPr>
            <w:r>
              <w:rPr>
                <w:rFonts w:ascii="Courier New" w:cs="Courier New" w:eastAsia="Courier New" w:hAnsi="Courier New"/>
                <w:color w:val="A8E6CF"/>
                <w:sz w:val="18"/>
                <w:szCs w:val="18"/>
              </w:rPr>
              <w:t xml:space="preserve">  sparsity_penalty = max(0, sparsity_target - actual_sparsity) ** 2</w:t>
            </w:r>
          </w:p>
          <w:p>
            <w:pPr>
              <w:spacing w:after="20" w:before="20"/>
            </w:pPr>
            <w:r>
              <w:rPr>
                <w:rFonts w:ascii="Courier New" w:cs="Courier New" w:eastAsia="Courier New" w:hAnsi="Courier New"/>
                <w:color w:val="A8E6CF"/>
                <w:sz w:val="18"/>
                <w:szCs w:val="18"/>
              </w:rPr>
              <w:t xml:space="preserve"> </w:t>
            </w:r>
          </w:p>
          <w:p>
            <w:pPr>
              <w:spacing w:after="20" w:before="20"/>
            </w:pPr>
            <w:r>
              <w:rPr>
                <w:rFonts w:ascii="Courier New" w:cs="Courier New" w:eastAsia="Courier New" w:hAnsi="Courier New"/>
                <w:color w:val="A8E6CF"/>
                <w:sz w:val="18"/>
                <w:szCs w:val="18"/>
              </w:rPr>
              <w:t xml:space="preserve">  return calibration_penalty + 0.1 * sparsity_penalty</w:t>
            </w:r>
          </w:p>
        </w:tc>
      </w:tr>
    </w:tbl>
    <w:p>
      <w:pPr>
        <w:spacing w:after="0" w:before="80"/>
      </w:pPr>
      <w:r>
        <w:t xml:space="preserve"/>
      </w:r>
    </w:p>
    <w:p>
      <w:pPr>
        <w:spacing w:after="120" w:before="80"/>
      </w:pPr>
      <w:r>
        <w:rPr>
          <w:rFonts w:ascii="Arial" w:cs="Arial" w:eastAsia="Arial" w:hAnsi="Arial"/>
          <w:b w:val="false"/>
          <w:bCs w:val="false"/>
          <w:i w:val="false"/>
          <w:iCs w:val="false"/>
          <w:color w:val="1A1A1A"/>
          <w:sz w:val="24"/>
          <w:szCs w:val="24"/>
        </w:rPr>
        <w:t xml:space="preserve">The epistemic labels in the training dataset are a new data requirement introduced by the TFH. They represent the ground-truth confidence state that a correctly calibrated model should assign to each training example. A label of confirmed indicates the model should answer with high certainty; uncertain indicates the model should signal that further reasoning or escalation is appropriate; disconfirmed indicates the model should reject the premise of the query. This three-label scheme directly mirrors the ternary confidence vocabulary of the Gamma Platform's inference-time behaviour.</w:t>
      </w:r>
    </w:p>
    <w:p>
      <w:pPr>
        <w:spacing w:after="0" w:before="120"/>
      </w:pPr>
      <w:r>
        <w:t xml:space="preserve"/>
      </w:r>
    </w:p>
    <w:p>
      <w:pPr>
        <w:pStyle w:val="Heading2"/>
        <w:pBdr>
          <w:bottom w:val="single" w:color="1A6B6B" w:sz="4" w:space="4"/>
        </w:pBdr>
        <w:spacing w:after="120" w:before="280"/>
      </w:pPr>
      <w:r>
        <w:rPr>
          <w:rFonts w:ascii="Arial" w:cs="Arial" w:eastAsia="Arial" w:hAnsi="Arial"/>
          <w:b/>
          <w:bCs/>
          <w:color w:val="1A6B6B"/>
          <w:sz w:val="28"/>
          <w:szCs w:val="28"/>
        </w:rPr>
        <w:t xml:space="preserve">4. Training Data Requirements</w:t>
      </w:r>
    </w:p>
    <w:p>
      <w:pPr>
        <w:pStyle w:val="Heading3"/>
        <w:spacing w:after="80" w:before="200"/>
      </w:pPr>
      <w:r>
        <w:rPr>
          <w:rFonts w:ascii="Arial" w:cs="Arial" w:eastAsia="Arial" w:hAnsi="Arial"/>
          <w:b/>
          <w:bCs/>
          <w:color w:val="C47A00"/>
          <w:sz w:val="26"/>
          <w:szCs w:val="26"/>
        </w:rPr>
        <w:t xml:space="preserve">4.1 Epistemic Label Schema</w:t>
      </w:r>
    </w:p>
    <w:p>
      <w:pPr>
        <w:spacing w:after="120" w:before="80"/>
      </w:pPr>
      <w:r>
        <w:rPr>
          <w:rFonts w:ascii="Arial" w:cs="Arial" w:eastAsia="Arial" w:hAnsi="Arial"/>
          <w:b w:val="false"/>
          <w:bCs w:val="false"/>
          <w:i w:val="false"/>
          <w:iCs w:val="false"/>
          <w:color w:val="1A1A1A"/>
          <w:sz w:val="24"/>
          <w:szCs w:val="24"/>
        </w:rPr>
        <w:t xml:space="preserve">Existing instruction-tuning datasets (Alpaca, FLAN, ShareGPT variants) can be used as the task loss component without modification. The confidence calibration loss requires an additional annotation layer. Each training example must carry an epistemic label from the three-state vocabulary, along with a confidence score in [0, 1] and an optional escalation flag indicating whether the model should route the query to a supervisory agent rather than answering directly.</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A8E6CF"/>
                <w:sz w:val="18"/>
                <w:szCs w:val="18"/>
              </w:rPr>
              <w:t xml:space="preserve"># Epistemic label schema (JSON, attached per training example)</w:t>
            </w:r>
          </w:p>
          <w:p>
            <w:pPr>
              <w:spacing w:after="20" w:before="20"/>
            </w:pPr>
            <w:r>
              <w:rPr>
                <w:rFonts w:ascii="Courier New" w:cs="Courier New" w:eastAsia="Courier New" w:hAnsi="Courier New"/>
                <w:color w:val="A8E6CF"/>
                <w:sz w:val="18"/>
                <w:szCs w:val="18"/>
              </w:rPr>
              <w:t xml:space="preserve">{</w:t>
            </w:r>
          </w:p>
          <w:p>
            <w:pPr>
              <w:spacing w:after="20" w:before="20"/>
            </w:pPr>
            <w:r>
              <w:rPr>
                <w:rFonts w:ascii="Courier New" w:cs="Courier New" w:eastAsia="Courier New" w:hAnsi="Courier New"/>
                <w:color w:val="A8E6CF"/>
                <w:sz w:val="18"/>
                <w:szCs w:val="18"/>
              </w:rPr>
              <w:t xml:space="preserve">  "epistemic_state":   "confirmed" | "uncertain" | "disconfirmed",</w:t>
            </w:r>
          </w:p>
          <w:p>
            <w:pPr>
              <w:spacing w:after="20" w:before="20"/>
            </w:pPr>
            <w:r>
              <w:rPr>
                <w:rFonts w:ascii="Courier New" w:cs="Courier New" w:eastAsia="Courier New" w:hAnsi="Courier New"/>
                <w:color w:val="A8E6CF"/>
                <w:sz w:val="18"/>
                <w:szCs w:val="18"/>
              </w:rPr>
              <w:t xml:space="preserve">  "confidence_score":  0.0 to 1.0,</w:t>
            </w:r>
          </w:p>
          <w:p>
            <w:pPr>
              <w:spacing w:after="20" w:before="20"/>
            </w:pPr>
            <w:r>
              <w:rPr>
                <w:rFonts w:ascii="Courier New" w:cs="Courier New" w:eastAsia="Courier New" w:hAnsi="Courier New"/>
                <w:color w:val="A8E6CF"/>
                <w:sz w:val="18"/>
                <w:szCs w:val="18"/>
              </w:rPr>
              <w:t xml:space="preserve">  "escalate":          true | false,</w:t>
            </w:r>
          </w:p>
          <w:p>
            <w:pPr>
              <w:spacing w:after="20" w:before="20"/>
            </w:pPr>
            <w:r>
              <w:rPr>
                <w:rFonts w:ascii="Courier New" w:cs="Courier New" w:eastAsia="Courier New" w:hAnsi="Courier New"/>
                <w:color w:val="A8E6CF"/>
                <w:sz w:val="18"/>
                <w:szCs w:val="18"/>
              </w:rPr>
              <w:t xml:space="preserve">  "domain":            "factual" | "reasoning" | "creative" | "agentic",</w:t>
            </w:r>
          </w:p>
          <w:p>
            <w:pPr>
              <w:spacing w:after="20" w:before="20"/>
            </w:pPr>
            <w:r>
              <w:rPr>
                <w:rFonts w:ascii="Courier New" w:cs="Courier New" w:eastAsia="Courier New" w:hAnsi="Courier New"/>
                <w:color w:val="A8E6CF"/>
                <w:sz w:val="18"/>
                <w:szCs w:val="18"/>
              </w:rPr>
              <w:t xml:space="preserve">  "source_reliability": 0.0 to 1.0   # propagated from dataset provenance</w:t>
            </w:r>
          </w:p>
          <w:p>
            <w:pPr>
              <w:spacing w:after="20" w:before="20"/>
            </w:pPr>
            <w:r>
              <w:rPr>
                <w:rFonts w:ascii="Courier New" w:cs="Courier New" w:eastAsia="Courier New" w:hAnsi="Courier New"/>
                <w:color w:val="A8E6CF"/>
                <w:sz w:val="18"/>
                <w:szCs w:val="18"/>
              </w:rPr>
              <w:t xml:space="preserve">}</w:t>
            </w:r>
          </w:p>
        </w:tc>
      </w:tr>
    </w:tbl>
    <w:p>
      <w:pPr>
        <w:spacing w:after="0" w:before="120"/>
      </w:pPr>
      <w:r>
        <w:t xml:space="preserve"/>
      </w:r>
    </w:p>
    <w:p>
      <w:pPr>
        <w:pStyle w:val="Heading3"/>
        <w:spacing w:after="80" w:before="200"/>
      </w:pPr>
      <w:r>
        <w:rPr>
          <w:rFonts w:ascii="Arial" w:cs="Arial" w:eastAsia="Arial" w:hAnsi="Arial"/>
          <w:b/>
          <w:bCs/>
          <w:color w:val="C47A00"/>
          <w:sz w:val="26"/>
          <w:szCs w:val="26"/>
        </w:rPr>
        <w:t xml:space="preserve">4.2 Label Generation Strategy</w:t>
      </w:r>
    </w:p>
    <w:p>
      <w:pPr>
        <w:spacing w:after="120" w:before="80"/>
      </w:pPr>
      <w:r>
        <w:rPr>
          <w:rFonts w:ascii="Arial" w:cs="Arial" w:eastAsia="Arial" w:hAnsi="Arial"/>
          <w:b w:val="false"/>
          <w:bCs w:val="false"/>
          <w:i w:val="false"/>
          <w:iCs w:val="false"/>
          <w:color w:val="1A1A1A"/>
          <w:sz w:val="24"/>
          <w:szCs w:val="24"/>
        </w:rPr>
        <w:t xml:space="preserve">For the initial training runs, epistemic labels are generated through three complementary methods. The first is automated annotation using tern-core's perplexity-gated autoscan: examples where the compressed model's perplexity diverges significantly from the base model's perplexity are labelled uncertain; examples within a tight perplexity band are labelled confirmed; examples where the compressed model inverts the base model's ranking are labelled disconfirmed.</w:t>
      </w:r>
    </w:p>
    <w:p>
      <w:pPr>
        <w:spacing w:after="0" w:before="60"/>
      </w:pPr>
      <w:r>
        <w:t xml:space="preserve"/>
      </w:r>
    </w:p>
    <w:p>
      <w:pPr>
        <w:spacing w:after="120" w:before="80"/>
      </w:pPr>
      <w:r>
        <w:rPr>
          <w:rFonts w:ascii="Arial" w:cs="Arial" w:eastAsia="Arial" w:hAnsi="Arial"/>
          <w:b w:val="false"/>
          <w:bCs w:val="false"/>
          <w:i w:val="false"/>
          <w:iCs w:val="false"/>
          <w:color w:val="1A1A1A"/>
          <w:sz w:val="24"/>
          <w:szCs w:val="24"/>
        </w:rPr>
        <w:t xml:space="preserve">The second method is rule-based annotation from dataset metadata: factual queries with verifiable single answers receive confirmed labels at high confidence; open-ended reasoning queries receive uncertain labels; queries that contain known false premises receive disconfirmed labels. The third method, planned for later training phases, is human review of a curated sample to establish calibration anchors for the automated labellers.</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1A6B6B"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Data Volume Target</w:t>
            </w:r>
          </w:p>
        </w:tc>
        <w:tc>
          <w:tcPr>
            <w:tcW w:type="dxa" w:w="7838"/>
            <w:tcBorders>
              <w:top w:val="single" w:color="CCCCCC" w:sz="1"/>
              <w:left w:val="single" w:color="CCCCCC" w:sz="1"/>
              <w:bottom w:val="single" w:color="CCCCCC" w:sz="1"/>
              <w:right w:val="single" w:color="CCCCCC" w:sz="1"/>
            </w:tcBorders>
            <w:shd w:fill="E8F4F4" w:val="clear"/>
            <w:tcMar>
              <w:top w:type="dxa" w:w="100"/>
              <w:left w:type="dxa" w:w="140"/>
              <w:bottom w:type="dxa" w:w="100"/>
              <w:right w:type="dxa" w:w="140"/>
            </w:tcMar>
          </w:tcPr>
          <w:p>
            <w:r>
              <w:rPr>
                <w:rFonts w:ascii="Arial" w:cs="Arial" w:eastAsia="Arial" w:hAnsi="Arial"/>
                <w:color w:val="1A1A1A"/>
                <w:sz w:val="22"/>
                <w:szCs w:val="22"/>
              </w:rPr>
              <w:t xml:space="preserve">Initial fine-tuning runs target 50,000 to 100,000 examples with full epistemic annotation. This is sufficient for LoRA-class adaptation of a 7B model within the Mac Mini's 64GB memory envelope. Larger runs targeting 13B to 34B models will require cloud inference and are planned as a second phase.</w:t>
            </w:r>
          </w:p>
        </w:tc>
      </w:tr>
    </w:tbl>
    <w:p>
      <w:pPr>
        <w:spacing w:after="0" w:before="120"/>
      </w:pPr>
      <w:r>
        <w:t xml:space="preserve"/>
      </w:r>
    </w:p>
    <w:p>
      <w:pPr>
        <w:pStyle w:val="Heading2"/>
        <w:pBdr>
          <w:bottom w:val="single" w:color="1A6B6B" w:sz="4" w:space="4"/>
        </w:pBdr>
        <w:spacing w:after="120" w:before="280"/>
      </w:pPr>
      <w:r>
        <w:rPr>
          <w:rFonts w:ascii="Arial" w:cs="Arial" w:eastAsia="Arial" w:hAnsi="Arial"/>
          <w:b/>
          <w:bCs/>
          <w:color w:val="1A6B6B"/>
          <w:sz w:val="28"/>
          <w:szCs w:val="28"/>
        </w:rPr>
        <w:t xml:space="preserve">5. MLX Implementation on Mac Mini M4 Pro</w:t>
      </w:r>
    </w:p>
    <w:p>
      <w:pPr>
        <w:pStyle w:val="Heading3"/>
        <w:spacing w:after="80" w:before="200"/>
      </w:pPr>
      <w:r>
        <w:rPr>
          <w:rFonts w:ascii="Arial" w:cs="Arial" w:eastAsia="Arial" w:hAnsi="Arial"/>
          <w:b/>
          <w:bCs/>
          <w:color w:val="C47A00"/>
          <w:sz w:val="26"/>
          <w:szCs w:val="26"/>
        </w:rPr>
        <w:t xml:space="preserve">5.1 Memory Envelope</w:t>
      </w:r>
    </w:p>
    <w:p>
      <w:pPr>
        <w:spacing w:after="120" w:before="80"/>
      </w:pPr>
      <w:r>
        <w:rPr>
          <w:rFonts w:ascii="Arial" w:cs="Arial" w:eastAsia="Arial" w:hAnsi="Arial"/>
          <w:b w:val="false"/>
          <w:bCs w:val="false"/>
          <w:i w:val="false"/>
          <w:iCs w:val="false"/>
          <w:color w:val="1A1A1A"/>
          <w:sz w:val="24"/>
          <w:szCs w:val="24"/>
        </w:rPr>
        <w:t xml:space="preserve">The Mac Mini M4 Pro's 64GB unified memory pool is shared across CPU, GPU, and Neural Engine without transfer overhead. Under the ternary compression ratios established by tern-core (Mistral-7B: 14.5GB to 2.27GB), the memory envelope for fine-tuning is as follows. A 7B model in ternary format occupies approximately 2.3GB for weights. The LoRA adapter layers (rank 16, standard configuration) add approximately 150MB. Activations, gradients, and the ternary projector state add approximately 8GB at a batch size of 4. The confidence annotation tensors add approximately 500MB. Total peak usage is estimated at 11GB to 13GB for a 7B model, leaving substantial headroom for the operating system, Gamma Platform agent processes, and the ConfidenceEventLog.</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c>
          <w:tcPr>
            <w:tcW w:type="dxa" w:w="2409"/>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2"/>
                <w:szCs w:val="22"/>
              </w:rPr>
              <w:t xml:space="preserve">Model Class</w:t>
            </w:r>
          </w:p>
        </w:tc>
        <w:tc>
          <w:tcPr>
            <w:tcW w:type="dxa" w:w="2409"/>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2"/>
                <w:szCs w:val="22"/>
              </w:rPr>
              <w:t xml:space="preserve">Ternary Weight Size</w:t>
            </w:r>
          </w:p>
        </w:tc>
        <w:tc>
          <w:tcPr>
            <w:tcW w:type="dxa" w:w="2409"/>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2"/>
                <w:szCs w:val="22"/>
              </w:rPr>
              <w:t xml:space="preserve">Peak Training Memory</w:t>
            </w:r>
          </w:p>
        </w:tc>
        <w:tc>
          <w:tcPr>
            <w:tcW w:type="dxa" w:w="2411"/>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2"/>
                <w:szCs w:val="22"/>
              </w:rPr>
              <w:t xml:space="preserve">Mac Mini Feasibility</w:t>
            </w:r>
          </w:p>
        </w:tc>
      </w:tr>
      <w:tr>
        <w:tc>
          <w:tcPr>
            <w:tcW w:type="dxa" w:w="24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7B parameters</w:t>
            </w:r>
          </w:p>
        </w:tc>
        <w:tc>
          <w:tcPr>
            <w:tcW w:type="dxa" w:w="24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~2.3 GB</w:t>
            </w:r>
          </w:p>
        </w:tc>
        <w:tc>
          <w:tcPr>
            <w:tcW w:type="dxa" w:w="24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 GB</w:t>
            </w:r>
          </w:p>
        </w:tc>
        <w:tc>
          <w:tcPr>
            <w:tcW w:type="dxa" w:w="241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Fully feasible</w:t>
            </w:r>
          </w:p>
        </w:tc>
      </w:tr>
      <w:tr>
        <w:tc>
          <w:tcPr>
            <w:tcW w:type="dxa" w:w="2409"/>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13B parameters</w:t>
            </w:r>
          </w:p>
        </w:tc>
        <w:tc>
          <w:tcPr>
            <w:tcW w:type="dxa" w:w="2409"/>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~4.2 GB</w:t>
            </w:r>
          </w:p>
        </w:tc>
        <w:tc>
          <w:tcPr>
            <w:tcW w:type="dxa" w:w="2409"/>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~22 GB</w:t>
            </w:r>
          </w:p>
        </w:tc>
        <w:tc>
          <w:tcPr>
            <w:tcW w:type="dxa" w:w="241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Feasible with batch size 2</w:t>
            </w:r>
          </w:p>
        </w:tc>
      </w:tr>
      <w:tr>
        <w:tc>
          <w:tcPr>
            <w:tcW w:type="dxa" w:w="24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34B parameters</w:t>
            </w:r>
          </w:p>
        </w:tc>
        <w:tc>
          <w:tcPr>
            <w:tcW w:type="dxa" w:w="24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~10.8 GB</w:t>
            </w:r>
          </w:p>
        </w:tc>
        <w:tc>
          <w:tcPr>
            <w:tcW w:type="dxa" w:w="24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~48 GB</w:t>
            </w:r>
          </w:p>
        </w:tc>
        <w:tc>
          <w:tcPr>
            <w:tcW w:type="dxa" w:w="241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Marginal; requires gradient checkpointing</w:t>
            </w:r>
          </w:p>
        </w:tc>
      </w:tr>
      <w:tr>
        <w:tc>
          <w:tcPr>
            <w:tcW w:type="dxa" w:w="2409"/>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70B parameters</w:t>
            </w:r>
          </w:p>
        </w:tc>
        <w:tc>
          <w:tcPr>
            <w:tcW w:type="dxa" w:w="2409"/>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~22 GB</w:t>
            </w:r>
          </w:p>
        </w:tc>
        <w:tc>
          <w:tcPr>
            <w:tcW w:type="dxa" w:w="2409"/>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~96 GB</w:t>
            </w:r>
          </w:p>
        </w:tc>
        <w:tc>
          <w:tcPr>
            <w:tcW w:type="dxa" w:w="241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Exceeds envelope; cloud required</w:t>
            </w:r>
          </w:p>
        </w:tc>
      </w:tr>
    </w:tbl>
    <w:p>
      <w:pPr>
        <w:spacing w:after="0" w:before="120"/>
      </w:pPr>
      <w:r>
        <w:t xml:space="preserve"/>
      </w:r>
    </w:p>
    <w:p>
      <w:pPr>
        <w:pStyle w:val="Heading3"/>
        <w:spacing w:after="80" w:before="200"/>
      </w:pPr>
      <w:r>
        <w:rPr>
          <w:rFonts w:ascii="Arial" w:cs="Arial" w:eastAsia="Arial" w:hAnsi="Arial"/>
          <w:b/>
          <w:bCs/>
          <w:color w:val="C47A00"/>
          <w:sz w:val="26"/>
          <w:szCs w:val="26"/>
        </w:rPr>
        <w:t xml:space="preserve">5.2 MLX Integration Points</w:t>
      </w:r>
    </w:p>
    <w:p>
      <w:pPr>
        <w:spacing w:after="120" w:before="80"/>
      </w:pPr>
      <w:r>
        <w:rPr>
          <w:rFonts w:ascii="Arial" w:cs="Arial" w:eastAsia="Arial" w:hAnsi="Arial"/>
          <w:b w:val="false"/>
          <w:bCs w:val="false"/>
          <w:i w:val="false"/>
          <w:iCs w:val="false"/>
          <w:color w:val="1A1A1A"/>
          <w:sz w:val="24"/>
          <w:szCs w:val="24"/>
        </w:rPr>
        <w:t xml:space="preserve">Apple MLX provides native support for M-series unified memory, lazy evaluation, and automatic differentiation. The TFH integrates with MLX at four points: the forward pass uses MLX's lazy evaluation graph to defer computation until gradients are required; TernaryProjector³ implements the soft projection using MLX's element-wise operations, which execute on the Neural Engine for the threshold and sigmoid computations; ConfidenceObjective³ uses MLX's KL divergence primitives; and HarnessCheckpointer³ uses MLX's native weight serialisation with an additional .see3 metadata wrapper for Gamma Platform compatibility.</w:t>
      </w:r>
    </w:p>
    <w:p>
      <w:pPr>
        <w:spacing w:after="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A8E6CF"/>
                <w:sz w:val="18"/>
                <w:szCs w:val="18"/>
              </w:rPr>
              <w:t xml:space="preserve"># MLX integration sketch (TernaryTrainer³ core)</w:t>
            </w:r>
          </w:p>
          <w:p>
            <w:pPr>
              <w:spacing w:after="20" w:before="20"/>
            </w:pPr>
            <w:r>
              <w:rPr>
                <w:rFonts w:ascii="Courier New" w:cs="Courier New" w:eastAsia="Courier New" w:hAnsi="Courier New"/>
                <w:color w:val="A8E6CF"/>
                <w:sz w:val="18"/>
                <w:szCs w:val="18"/>
              </w:rPr>
              <w:t xml:space="preserve">import mlx.core as mx</w:t>
            </w:r>
          </w:p>
          <w:p>
            <w:pPr>
              <w:spacing w:after="20" w:before="20"/>
            </w:pPr>
            <w:r>
              <w:rPr>
                <w:rFonts w:ascii="Courier New" w:cs="Courier New" w:eastAsia="Courier New" w:hAnsi="Courier New"/>
                <w:color w:val="A8E6CF"/>
                <w:sz w:val="18"/>
                <w:szCs w:val="18"/>
              </w:rPr>
              <w:t xml:space="preserve">import mlx.nn as nn</w:t>
            </w:r>
          </w:p>
          <w:p>
            <w:pPr>
              <w:spacing w:after="20" w:before="20"/>
            </w:pPr>
            <w:r>
              <w:rPr>
                <w:rFonts w:ascii="Courier New" w:cs="Courier New" w:eastAsia="Courier New" w:hAnsi="Courier New"/>
                <w:color w:val="A8E6CF"/>
                <w:sz w:val="18"/>
                <w:szCs w:val="18"/>
              </w:rPr>
              <w:t xml:space="preserve">from tern_core import TernaryEncoder</w:t>
            </w:r>
          </w:p>
          <w:p>
            <w:pPr>
              <w:spacing w:after="20" w:before="20"/>
            </w:pPr>
            <w:r>
              <w:rPr>
                <w:rFonts w:ascii="Courier New" w:cs="Courier New" w:eastAsia="Courier New" w:hAnsi="Courier New"/>
                <w:color w:val="A8E6CF"/>
                <w:sz w:val="18"/>
                <w:szCs w:val="18"/>
              </w:rPr>
              <w:t xml:space="preserve">from gamma_platform import ConfidenceQueue3, ConfidenceEventLog3</w:t>
            </w:r>
          </w:p>
          <w:p>
            <w:pPr>
              <w:spacing w:after="20" w:before="20"/>
            </w:pPr>
            <w:r>
              <w:rPr>
                <w:rFonts w:ascii="Courier New" w:cs="Courier New" w:eastAsia="Courier New" w:hAnsi="Courier New"/>
                <w:color w:val="A8E6CF"/>
                <w:sz w:val="18"/>
                <w:szCs w:val="18"/>
              </w:rPr>
              <w:t xml:space="preserve"> </w:t>
            </w:r>
          </w:p>
          <w:p>
            <w:pPr>
              <w:spacing w:after="20" w:before="20"/>
            </w:pPr>
            <w:r>
              <w:rPr>
                <w:rFonts w:ascii="Courier New" w:cs="Courier New" w:eastAsia="Courier New" w:hAnsi="Courier New"/>
                <w:color w:val="A8E6CF"/>
                <w:sz w:val="18"/>
                <w:szCs w:val="18"/>
              </w:rPr>
              <w:t xml:space="preserve">class TernaryTrainer3:</w:t>
            </w:r>
          </w:p>
          <w:p>
            <w:pPr>
              <w:spacing w:after="20" w:before="20"/>
            </w:pPr>
            <w:r>
              <w:rPr>
                <w:rFonts w:ascii="Courier New" w:cs="Courier New" w:eastAsia="Courier New" w:hAnsi="Courier New"/>
                <w:color w:val="A8E6CF"/>
                <w:sz w:val="18"/>
                <w:szCs w:val="18"/>
              </w:rPr>
              <w:t xml:space="preserve">    def __init__(self, model, config):</w:t>
            </w:r>
          </w:p>
          <w:p>
            <w:pPr>
              <w:spacing w:after="20" w:before="20"/>
            </w:pPr>
            <w:r>
              <w:rPr>
                <w:rFonts w:ascii="Courier New" w:cs="Courier New" w:eastAsia="Courier New" w:hAnsi="Courier New"/>
                <w:color w:val="A8E6CF"/>
                <w:sz w:val="18"/>
                <w:szCs w:val="18"/>
              </w:rPr>
              <w:t xml:space="preserve">        self.model     = model</w:t>
            </w:r>
          </w:p>
          <w:p>
            <w:pPr>
              <w:spacing w:after="20" w:before="20"/>
            </w:pPr>
            <w:r>
              <w:rPr>
                <w:rFonts w:ascii="Courier New" w:cs="Courier New" w:eastAsia="Courier New" w:hAnsi="Courier New"/>
                <w:color w:val="A8E6CF"/>
                <w:sz w:val="18"/>
                <w:szCs w:val="18"/>
              </w:rPr>
              <w:t xml:space="preserve">        self.encoder   = TernaryEncoder(config.sparsity_target)</w:t>
            </w:r>
          </w:p>
          <w:p>
            <w:pPr>
              <w:spacing w:after="20" w:before="20"/>
            </w:pPr>
            <w:r>
              <w:rPr>
                <w:rFonts w:ascii="Courier New" w:cs="Courier New" w:eastAsia="Courier New" w:hAnsi="Courier New"/>
                <w:color w:val="A8E6CF"/>
                <w:sz w:val="18"/>
                <w:szCs w:val="18"/>
              </w:rPr>
              <w:t xml:space="preserve">        self.projector = TernaryProjector3(config)</w:t>
            </w:r>
          </w:p>
          <w:p>
            <w:pPr>
              <w:spacing w:after="20" w:before="20"/>
            </w:pPr>
            <w:r>
              <w:rPr>
                <w:rFonts w:ascii="Courier New" w:cs="Courier New" w:eastAsia="Courier New" w:hAnsi="Courier New"/>
                <w:color w:val="A8E6CF"/>
                <w:sz w:val="18"/>
                <w:szCs w:val="18"/>
              </w:rPr>
              <w:t xml:space="preserve">        self.objective = ConfidenceObjective3(config)</w:t>
            </w:r>
          </w:p>
          <w:p>
            <w:pPr>
              <w:spacing w:after="20" w:before="20"/>
            </w:pPr>
            <w:r>
              <w:rPr>
                <w:rFonts w:ascii="Courier New" w:cs="Courier New" w:eastAsia="Courier New" w:hAnsi="Courier New"/>
                <w:color w:val="A8E6CF"/>
                <w:sz w:val="18"/>
                <w:szCs w:val="18"/>
              </w:rPr>
              <w:t xml:space="preserve">        self.scheduler = AdaptationScheduler3(config)</w:t>
            </w:r>
          </w:p>
          <w:p>
            <w:pPr>
              <w:spacing w:after="20" w:before="20"/>
            </w:pPr>
            <w:r>
              <w:rPr>
                <w:rFonts w:ascii="Courier New" w:cs="Courier New" w:eastAsia="Courier New" w:hAnsi="Courier New"/>
                <w:color w:val="A8E6CF"/>
                <w:sz w:val="18"/>
                <w:szCs w:val="18"/>
              </w:rPr>
              <w:t xml:space="preserve">        self.log       = ConfidenceEventLog3()</w:t>
            </w:r>
          </w:p>
          <w:p>
            <w:pPr>
              <w:spacing w:after="20" w:before="20"/>
            </w:pPr>
            <w:r>
              <w:rPr>
                <w:rFonts w:ascii="Courier New" w:cs="Courier New" w:eastAsia="Courier New" w:hAnsi="Courier New"/>
                <w:color w:val="A8E6CF"/>
                <w:sz w:val="18"/>
                <w:szCs w:val="18"/>
              </w:rPr>
              <w:t xml:space="preserve"> </w:t>
            </w:r>
          </w:p>
          <w:p>
            <w:pPr>
              <w:spacing w:after="20" w:before="20"/>
            </w:pPr>
            <w:r>
              <w:rPr>
                <w:rFonts w:ascii="Courier New" w:cs="Courier New" w:eastAsia="Courier New" w:hAnsi="Courier New"/>
                <w:color w:val="A8E6CF"/>
                <w:sz w:val="18"/>
                <w:szCs w:val="18"/>
              </w:rPr>
              <w:t xml:space="preserve">    def step(self, batch, step_idx):</w:t>
            </w:r>
          </w:p>
          <w:p>
            <w:pPr>
              <w:spacing w:after="20" w:before="20"/>
            </w:pPr>
            <w:r>
              <w:rPr>
                <w:rFonts w:ascii="Courier New" w:cs="Courier New" w:eastAsia="Courier New" w:hAnsi="Courier New"/>
                <w:color w:val="A8E6CF"/>
                <w:sz w:val="18"/>
                <w:szCs w:val="18"/>
              </w:rPr>
              <w:t xml:space="preserve">        tau   = self.scheduler.tau(step_idx)</w:t>
            </w:r>
          </w:p>
          <w:p>
            <w:pPr>
              <w:spacing w:after="20" w:before="20"/>
            </w:pPr>
            <w:r>
              <w:rPr>
                <w:rFonts w:ascii="Courier New" w:cs="Courier New" w:eastAsia="Courier New" w:hAnsi="Courier New"/>
                <w:color w:val="A8E6CF"/>
                <w:sz w:val="18"/>
                <w:szCs w:val="18"/>
              </w:rPr>
              <w:t xml:space="preserve">        alpha = self.scheduler.alpha(step_idx)</w:t>
            </w:r>
          </w:p>
          <w:p>
            <w:pPr>
              <w:spacing w:after="20" w:before="20"/>
            </w:pPr>
            <w:r>
              <w:rPr>
                <w:rFonts w:ascii="Courier New" w:cs="Courier New" w:eastAsia="Courier New" w:hAnsi="Courier New"/>
                <w:color w:val="A8E6CF"/>
                <w:sz w:val="18"/>
                <w:szCs w:val="18"/>
              </w:rPr>
              <w:t xml:space="preserve"> </w:t>
            </w:r>
          </w:p>
          <w:p>
            <w:pPr>
              <w:spacing w:after="20" w:before="20"/>
            </w:pPr>
            <w:r>
              <w:rPr>
                <w:rFonts w:ascii="Courier New" w:cs="Courier New" w:eastAsia="Courier New" w:hAnsi="Courier New"/>
                <w:color w:val="A8E6CF"/>
                <w:sz w:val="18"/>
                <w:szCs w:val="18"/>
              </w:rPr>
              <w:t xml:space="preserve">        def loss_fn(params):</w:t>
            </w:r>
          </w:p>
          <w:p>
            <w:pPr>
              <w:spacing w:after="20" w:before="20"/>
            </w:pPr>
            <w:r>
              <w:rPr>
                <w:rFonts w:ascii="Courier New" w:cs="Courier New" w:eastAsia="Courier New" w:hAnsi="Courier New"/>
                <w:color w:val="A8E6CF"/>
                <w:sz w:val="18"/>
                <w:szCs w:val="18"/>
              </w:rPr>
              <w:t xml:space="preserve">            logits           = self.model.apply(params, batch['inputs'])</w:t>
            </w:r>
          </w:p>
          <w:p>
            <w:pPr>
              <w:spacing w:after="20" w:before="20"/>
            </w:pPr>
            <w:r>
              <w:rPr>
                <w:rFonts w:ascii="Courier New" w:cs="Courier New" w:eastAsia="Courier New" w:hAnsi="Courier New"/>
                <w:color w:val="A8E6CF"/>
                <w:sz w:val="18"/>
                <w:szCs w:val="18"/>
              </w:rPr>
              <w:t xml:space="preserve">            task_loss        = nn.losses.cross_entropy(logits, batch['targets'])</w:t>
            </w:r>
          </w:p>
          <w:p>
            <w:pPr>
              <w:spacing w:after="20" w:before="20"/>
            </w:pPr>
            <w:r>
              <w:rPr>
                <w:rFonts w:ascii="Courier New" w:cs="Courier New" w:eastAsia="Courier New" w:hAnsi="Courier New"/>
                <w:color w:val="A8E6CF"/>
                <w:sz w:val="18"/>
                <w:szCs w:val="18"/>
              </w:rPr>
              <w:t xml:space="preserve">            clusters         = self.projector.cluster(params, tau)</w:t>
            </w:r>
          </w:p>
          <w:p>
            <w:pPr>
              <w:spacing w:after="20" w:before="20"/>
            </w:pPr>
            <w:r>
              <w:rPr>
                <w:rFonts w:ascii="Courier New" w:cs="Courier New" w:eastAsia="Courier New" w:hAnsi="Courier New"/>
                <w:color w:val="A8E6CF"/>
                <w:sz w:val="18"/>
                <w:szCs w:val="18"/>
              </w:rPr>
              <w:t xml:space="preserve">            conf_triples     = self.encoder.annotate(clusters)</w:t>
            </w:r>
          </w:p>
          <w:p>
            <w:pPr>
              <w:spacing w:after="20" w:before="20"/>
            </w:pPr>
            <w:r>
              <w:rPr>
                <w:rFonts w:ascii="Courier New" w:cs="Courier New" w:eastAsia="Courier New" w:hAnsi="Courier New"/>
                <w:color w:val="A8E6CF"/>
                <w:sz w:val="18"/>
                <w:szCs w:val="18"/>
              </w:rPr>
              <w:t xml:space="preserve">            confidence_loss  = self.objective.compute(</w:t>
            </w:r>
          </w:p>
          <w:p>
            <w:pPr>
              <w:spacing w:after="20" w:before="20"/>
            </w:pPr>
            <w:r>
              <w:rPr>
                <w:rFonts w:ascii="Courier New" w:cs="Courier New" w:eastAsia="Courier New" w:hAnsi="Courier New"/>
                <w:color w:val="A8E6CF"/>
                <w:sz w:val="18"/>
                <w:szCs w:val="18"/>
              </w:rPr>
              <w:t xml:space="preserve">                                   conf_triples, batch['epistemic_labels'])</w:t>
            </w:r>
          </w:p>
          <w:p>
            <w:pPr>
              <w:spacing w:after="20" w:before="20"/>
            </w:pPr>
            <w:r>
              <w:rPr>
                <w:rFonts w:ascii="Courier New" w:cs="Courier New" w:eastAsia="Courier New" w:hAnsi="Courier New"/>
                <w:color w:val="A8E6CF"/>
                <w:sz w:val="18"/>
                <w:szCs w:val="18"/>
              </w:rPr>
              <w:t xml:space="preserve">            return task_loss + alpha * confidence_loss, conf_triples</w:t>
            </w:r>
          </w:p>
          <w:p>
            <w:pPr>
              <w:spacing w:after="20" w:before="20"/>
            </w:pPr>
            <w:r>
              <w:rPr>
                <w:rFonts w:ascii="Courier New" w:cs="Courier New" w:eastAsia="Courier New" w:hAnsi="Courier New"/>
                <w:color w:val="A8E6CF"/>
                <w:sz w:val="18"/>
                <w:szCs w:val="18"/>
              </w:rPr>
              <w:t xml:space="preserve"> </w:t>
            </w:r>
          </w:p>
          <w:p>
            <w:pPr>
              <w:spacing w:after="20" w:before="20"/>
            </w:pPr>
            <w:r>
              <w:rPr>
                <w:rFonts w:ascii="Courier New" w:cs="Courier New" w:eastAsia="Courier New" w:hAnsi="Courier New"/>
                <w:color w:val="A8E6CF"/>
                <w:sz w:val="18"/>
                <w:szCs w:val="18"/>
              </w:rPr>
              <w:t xml:space="preserve">        (loss, conf_triples), grads = mx.value_and_grad(</w:t>
            </w:r>
          </w:p>
          <w:p>
            <w:pPr>
              <w:spacing w:after="20" w:before="20"/>
            </w:pPr>
            <w:r>
              <w:rPr>
                <w:rFonts w:ascii="Courier New" w:cs="Courier New" w:eastAsia="Courier New" w:hAnsi="Courier New"/>
                <w:color w:val="A8E6CF"/>
                <w:sz w:val="18"/>
                <w:szCs w:val="18"/>
              </w:rPr>
              <w:t xml:space="preserve">            loss_fn, has_aux=True)(self.model.parameters())</w:t>
            </w:r>
          </w:p>
          <w:p>
            <w:pPr>
              <w:spacing w:after="20" w:before="20"/>
            </w:pPr>
            <w:r>
              <w:rPr>
                <w:rFonts w:ascii="Courier New" w:cs="Courier New" w:eastAsia="Courier New" w:hAnsi="Courier New"/>
                <w:color w:val="A8E6CF"/>
                <w:sz w:val="18"/>
                <w:szCs w:val="18"/>
              </w:rPr>
              <w:t xml:space="preserve"> </w:t>
            </w:r>
          </w:p>
          <w:p>
            <w:pPr>
              <w:spacing w:after="20" w:before="20"/>
            </w:pPr>
            <w:r>
              <w:rPr>
                <w:rFonts w:ascii="Courier New" w:cs="Courier New" w:eastAsia="Courier New" w:hAnsi="Courier New"/>
                <w:color w:val="A8E6CF"/>
                <w:sz w:val="18"/>
                <w:szCs w:val="18"/>
              </w:rPr>
              <w:t xml:space="preserve">        projected_grads = self.projector.project(grads, tau)</w:t>
            </w:r>
          </w:p>
          <w:p>
            <w:pPr>
              <w:spacing w:after="20" w:before="20"/>
            </w:pPr>
            <w:r>
              <w:rPr>
                <w:rFonts w:ascii="Courier New" w:cs="Courier New" w:eastAsia="Courier New" w:hAnsi="Courier New"/>
                <w:color w:val="A8E6CF"/>
                <w:sz w:val="18"/>
                <w:szCs w:val="18"/>
              </w:rPr>
              <w:t xml:space="preserve">        self.optimiser.update(self.model, projected_grads)</w:t>
            </w:r>
          </w:p>
          <w:p>
            <w:pPr>
              <w:spacing w:after="20" w:before="20"/>
            </w:pPr>
            <w:r>
              <w:rPr>
                <w:rFonts w:ascii="Courier New" w:cs="Courier New" w:eastAsia="Courier New" w:hAnsi="Courier New"/>
                <w:color w:val="A8E6CF"/>
                <w:sz w:val="18"/>
                <w:szCs w:val="18"/>
              </w:rPr>
              <w:t xml:space="preserve">        mx.eval(self.model.parameters(), loss)</w:t>
            </w:r>
          </w:p>
          <w:p>
            <w:pPr>
              <w:spacing w:after="20" w:before="20"/>
            </w:pPr>
            <w:r>
              <w:rPr>
                <w:rFonts w:ascii="Courier New" w:cs="Courier New" w:eastAsia="Courier New" w:hAnsi="Courier New"/>
                <w:color w:val="A8E6CF"/>
                <w:sz w:val="18"/>
                <w:szCs w:val="18"/>
              </w:rPr>
              <w:t xml:space="preserve"> </w:t>
            </w:r>
          </w:p>
          <w:p>
            <w:pPr>
              <w:spacing w:after="20" w:before="20"/>
            </w:pPr>
            <w:r>
              <w:rPr>
                <w:rFonts w:ascii="Courier New" w:cs="Courier New" w:eastAsia="Courier New" w:hAnsi="Courier New"/>
                <w:color w:val="A8E6CF"/>
                <w:sz w:val="18"/>
                <w:szCs w:val="18"/>
              </w:rPr>
              <w:t xml:space="preserve">        self.log.write(step_idx, loss.item(), conf_triples)</w:t>
            </w:r>
          </w:p>
          <w:p>
            <w:pPr>
              <w:spacing w:after="20" w:before="20"/>
            </w:pPr>
            <w:r>
              <w:rPr>
                <w:rFonts w:ascii="Courier New" w:cs="Courier New" w:eastAsia="Courier New" w:hAnsi="Courier New"/>
                <w:color w:val="A8E6CF"/>
                <w:sz w:val="18"/>
                <w:szCs w:val="18"/>
              </w:rPr>
              <w:t xml:space="preserve">        return loss.item()</w:t>
            </w:r>
          </w:p>
        </w:tc>
      </w:tr>
    </w:tbl>
    <w:p>
      <w:pPr>
        <w:spacing w:after="0" w:before="120"/>
      </w:pPr>
      <w:r>
        <w:t xml:space="preserve"/>
      </w:r>
    </w:p>
    <w:p>
      <w:pPr>
        <w:pStyle w:val="Heading2"/>
        <w:pBdr>
          <w:bottom w:val="single" w:color="1A6B6B" w:sz="4" w:space="4"/>
        </w:pBdr>
        <w:spacing w:after="120" w:before="280"/>
      </w:pPr>
      <w:r>
        <w:rPr>
          <w:rFonts w:ascii="Arial" w:cs="Arial" w:eastAsia="Arial" w:hAnsi="Arial"/>
          <w:b/>
          <w:bCs/>
          <w:color w:val="1A6B6B"/>
          <w:sz w:val="28"/>
          <w:szCs w:val="28"/>
        </w:rPr>
        <w:t xml:space="preserve">6. Integration with the Gamma Platform</w:t>
      </w:r>
    </w:p>
    <w:p>
      <w:pPr>
        <w:pStyle w:val="Heading3"/>
        <w:spacing w:after="80" w:before="200"/>
      </w:pPr>
      <w:r>
        <w:rPr>
          <w:rFonts w:ascii="Arial" w:cs="Arial" w:eastAsia="Arial" w:hAnsi="Arial"/>
          <w:b/>
          <w:bCs/>
          <w:color w:val="C47A00"/>
          <w:sz w:val="26"/>
          <w:szCs w:val="26"/>
        </w:rPr>
        <w:t xml:space="preserve">6.1 ConfidenceEventLog³ as Training Audit Trail</w:t>
      </w:r>
    </w:p>
    <w:p>
      <w:pPr>
        <w:spacing w:after="120" w:before="80"/>
      </w:pPr>
      <w:r>
        <w:rPr>
          <w:rFonts w:ascii="Arial" w:cs="Arial" w:eastAsia="Arial" w:hAnsi="Arial"/>
          <w:b w:val="false"/>
          <w:bCs w:val="false"/>
          <w:i w:val="false"/>
          <w:iCs w:val="false"/>
          <w:color w:val="1A1A1A"/>
          <w:sz w:val="24"/>
          <w:szCs w:val="24"/>
        </w:rPr>
        <w:t xml:space="preserve">The ConfidenceEventLog³, currently used at inference time to record the epistemic state of agent transitions, is extended in the TFH to serve as a training audit trail. Each training step writes a log entry containing the step index, total loss, task loss component, confidence loss component, mean ternary sparsity ratio, and the distribution of confidence triples across the current batch. This log provides full traceability between training dynamics and confidence calibration quality, and is persisted in the .see3 format for compatibility with the Gamma Platform's document primitive layer.</w:t>
      </w:r>
    </w:p>
    <w:p>
      <w:pPr>
        <w:spacing w:after="0" w:before="80"/>
      </w:pPr>
      <w:r>
        <w:t xml:space="preserve"/>
      </w:r>
    </w:p>
    <w:p>
      <w:pPr>
        <w:pStyle w:val="Heading3"/>
        <w:spacing w:after="80" w:before="200"/>
      </w:pPr>
      <w:r>
        <w:rPr>
          <w:rFonts w:ascii="Arial" w:cs="Arial" w:eastAsia="Arial" w:hAnsi="Arial"/>
          <w:b/>
          <w:bCs/>
          <w:color w:val="C47A00"/>
          <w:sz w:val="26"/>
          <w:szCs w:val="26"/>
        </w:rPr>
        <w:t xml:space="preserve">6.2 Inference-Time Continuity</w:t>
      </w:r>
    </w:p>
    <w:p>
      <w:pPr>
        <w:spacing w:after="120" w:before="80"/>
      </w:pPr>
      <w:r>
        <w:rPr>
          <w:rFonts w:ascii="Arial" w:cs="Arial" w:eastAsia="Arial" w:hAnsi="Arial"/>
          <w:b w:val="false"/>
          <w:bCs w:val="false"/>
          <w:i w:val="false"/>
          <w:iCs w:val="false"/>
          <w:color w:val="1A1A1A"/>
          <w:sz w:val="24"/>
          <w:szCs w:val="24"/>
        </w:rPr>
        <w:t xml:space="preserve">Models fine-tuned through the TFH are directly compatible with the existing Gamma Platform inference stack. The ternary weight format produced by HarnessCheckpointer³ is identical to the format consumed by TernaryRouter³ and ConfidenceQueue³ at inference time. No format conversion is required between training and deployment. The confidence triples produced during training are available to the inference stack as initialisation priors: a model that learned high confidence on a particular domain during training propagates that calibration into the agent's initial epistemic state when deployed, rather than starting from a flat prior.</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1A6B6B"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 Continuity Property</w:t>
            </w:r>
          </w:p>
        </w:tc>
        <w:tc>
          <w:tcPr>
            <w:tcW w:type="dxa" w:w="7838"/>
            <w:tcBorders>
              <w:top w:val="single" w:color="CCCCCC" w:sz="1"/>
              <w:left w:val="single" w:color="CCCCCC" w:sz="1"/>
              <w:bottom w:val="single" w:color="CCCCCC" w:sz="1"/>
              <w:right w:val="single" w:color="CCCCCC" w:sz="1"/>
            </w:tcBorders>
            <w:shd w:fill="E8F4F4" w:val="clear"/>
            <w:tcMar>
              <w:top w:type="dxa" w:w="100"/>
              <w:left w:type="dxa" w:w="140"/>
              <w:bottom w:type="dxa" w:w="100"/>
              <w:right w:type="dxa" w:w="140"/>
            </w:tcMar>
          </w:tcPr>
          <w:p>
            <w:r>
              <w:rPr>
                <w:rFonts w:ascii="Arial" w:cs="Arial" w:eastAsia="Arial" w:hAnsi="Arial"/>
                <w:color w:val="1A1A1A"/>
                <w:sz w:val="22"/>
                <w:szCs w:val="22"/>
              </w:rPr>
              <w:t xml:space="preserve">The TFH is designed so that a model's training-time confidence calibration survives into inference-time agent behaviour. The system does not merely learn to answer correctly; it learns to know when it knows, which is the innate reflex behaviour the Gamma Platform’s agent architecture requires.</w:t>
            </w:r>
          </w:p>
        </w:tc>
      </w:tr>
    </w:tbl>
    <w:p>
      <w:pPr>
        <w:spacing w:after="0" w:before="120"/>
      </w:pPr>
      <w:r>
        <w:t xml:space="preserve"/>
      </w:r>
    </w:p>
    <w:p>
      <w:pPr>
        <w:pStyle w:val="Heading2"/>
        <w:pBdr>
          <w:bottom w:val="single" w:color="1A6B6B" w:sz="4" w:space="4"/>
        </w:pBdr>
        <w:spacing w:after="120" w:before="280"/>
      </w:pPr>
      <w:r>
        <w:rPr>
          <w:rFonts w:ascii="Arial" w:cs="Arial" w:eastAsia="Arial" w:hAnsi="Arial"/>
          <w:b/>
          <w:bCs/>
          <w:color w:val="1A6B6B"/>
          <w:sz w:val="28"/>
          <w:szCs w:val="28"/>
        </w:rPr>
        <w:t xml:space="preserve">7. Build Targets for CC</w:t>
      </w:r>
    </w:p>
    <w:p>
      <w:pPr>
        <w:pStyle w:val="Heading3"/>
        <w:spacing w:after="80" w:before="200"/>
      </w:pPr>
      <w:r>
        <w:rPr>
          <w:rFonts w:ascii="Arial" w:cs="Arial" w:eastAsia="Arial" w:hAnsi="Arial"/>
          <w:b/>
          <w:bCs/>
          <w:color w:val="C47A00"/>
          <w:sz w:val="26"/>
          <w:szCs w:val="26"/>
        </w:rPr>
        <w:t xml:space="preserve">7.1 Phase 1 — Foundation (Weeks 1–2)</w:t>
      </w:r>
    </w:p>
    <w:p>
      <w:pPr>
        <w:spacing w:after="0" w:before="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c>
          <w:tcPr>
            <w:tcW w:type="dxa" w:w="3212"/>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2"/>
                <w:szCs w:val="22"/>
              </w:rPr>
              <w:t xml:space="preserve">Target</w:t>
            </w:r>
          </w:p>
        </w:tc>
        <w:tc>
          <w:tcPr>
            <w:tcW w:type="dxa" w:w="3212"/>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3214"/>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2"/>
                <w:szCs w:val="22"/>
              </w:rPr>
              <w:t xml:space="preserve">Depends On</w:t>
            </w:r>
          </w:p>
        </w:tc>
      </w:tr>
      <w:tr>
        <w:tc>
          <w:tcPr>
            <w:tcW w:type="dxa" w:w="3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TernaryProjector³ v0.1</w:t>
            </w:r>
          </w:p>
        </w:tc>
        <w:tc>
          <w:tcPr>
            <w:tcW w:type="dxa" w:w="3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Soft ternary projection with temperature annealing; MLX-native</w:t>
            </w:r>
          </w:p>
        </w:tc>
        <w:tc>
          <w:tcPr>
            <w:tcW w:type="dxa" w:w="32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tern-core TernaryEncoder</w:t>
            </w:r>
          </w:p>
        </w:tc>
      </w:tr>
      <w:tr>
        <w:tc>
          <w:tcPr>
            <w:tcW w:type="dxa" w:w="321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ConfidenceObjective³ v0.1</w:t>
            </w:r>
          </w:p>
        </w:tc>
        <w:tc>
          <w:tcPr>
            <w:tcW w:type="dxa" w:w="321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Composite loss: task + calibration + sparsity regulariser</w:t>
            </w:r>
          </w:p>
        </w:tc>
        <w:tc>
          <w:tcPr>
            <w:tcW w:type="dxa" w:w="321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TernaryProjector³</w:t>
            </w:r>
          </w:p>
        </w:tc>
      </w:tr>
      <w:tr>
        <w:tc>
          <w:tcPr>
            <w:tcW w:type="dxa" w:w="3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EpistemicAnnotator³ v0.1</w:t>
            </w:r>
          </w:p>
        </w:tc>
        <w:tc>
          <w:tcPr>
            <w:tcW w:type="dxa" w:w="3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Ternary confidence triple generation from weight clusters</w:t>
            </w:r>
          </w:p>
        </w:tc>
        <w:tc>
          <w:tcPr>
            <w:tcW w:type="dxa" w:w="32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tern-core TernaryEncoder</w:t>
            </w:r>
          </w:p>
        </w:tc>
      </w:tr>
      <w:tr>
        <w:tc>
          <w:tcPr>
            <w:tcW w:type="dxa" w:w="321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AdaptationScheduler³ v0.1</w:t>
            </w:r>
          </w:p>
        </w:tc>
        <w:tc>
          <w:tcPr>
            <w:tcW w:type="dxa" w:w="321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Temperature and alpha annealing schedules; configurable via YAML</w:t>
            </w:r>
          </w:p>
        </w:tc>
        <w:tc>
          <w:tcPr>
            <w:tcW w:type="dxa" w:w="321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None</w:t>
            </w:r>
          </w:p>
        </w:tc>
      </w:tr>
      <w:tr>
        <w:tc>
          <w:tcPr>
            <w:tcW w:type="dxa" w:w="3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Epistemic label schema</w:t>
            </w:r>
          </w:p>
        </w:tc>
        <w:tc>
          <w:tcPr>
            <w:tcW w:type="dxa" w:w="3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JSON schema and validator for training dataset annotation</w:t>
            </w:r>
          </w:p>
        </w:tc>
        <w:tc>
          <w:tcPr>
            <w:tcW w:type="dxa" w:w="32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None</w:t>
            </w:r>
          </w:p>
        </w:tc>
      </w:tr>
    </w:tbl>
    <w:p>
      <w:pPr>
        <w:spacing w:after="0" w:before="100"/>
      </w:pPr>
      <w:r>
        <w:t xml:space="preserve"/>
      </w:r>
    </w:p>
    <w:p>
      <w:pPr>
        <w:pStyle w:val="Heading3"/>
        <w:spacing w:after="80" w:before="200"/>
      </w:pPr>
      <w:r>
        <w:rPr>
          <w:rFonts w:ascii="Arial" w:cs="Arial" w:eastAsia="Arial" w:hAnsi="Arial"/>
          <w:b/>
          <w:bCs/>
          <w:color w:val="C47A00"/>
          <w:sz w:val="26"/>
          <w:szCs w:val="26"/>
        </w:rPr>
        <w:t xml:space="preserve">7.2 Phase 2 — Integration (Weeks 3–4)</w:t>
      </w:r>
    </w:p>
    <w:p>
      <w:pPr>
        <w:spacing w:after="0" w:before="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c>
          <w:tcPr>
            <w:tcW w:type="dxa" w:w="3212"/>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2"/>
                <w:szCs w:val="22"/>
              </w:rPr>
              <w:t xml:space="preserve">Target</w:t>
            </w:r>
          </w:p>
        </w:tc>
        <w:tc>
          <w:tcPr>
            <w:tcW w:type="dxa" w:w="3212"/>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3214"/>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2"/>
                <w:szCs w:val="22"/>
              </w:rPr>
              <w:t xml:space="preserve">Depends On</w:t>
            </w:r>
          </w:p>
        </w:tc>
      </w:tr>
      <w:tr>
        <w:tc>
          <w:tcPr>
            <w:tcW w:type="dxa" w:w="3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TernaryTrainer³ v0.1</w:t>
            </w:r>
          </w:p>
        </w:tc>
        <w:tc>
          <w:tcPr>
            <w:tcW w:type="dxa" w:w="3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training loop integrating all Phase 1 components</w:t>
            </w:r>
          </w:p>
        </w:tc>
        <w:tc>
          <w:tcPr>
            <w:tcW w:type="dxa" w:w="32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Phase 1 components</w:t>
            </w:r>
          </w:p>
        </w:tc>
      </w:tr>
      <w:tr>
        <w:tc>
          <w:tcPr>
            <w:tcW w:type="dxa" w:w="321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HarnessCheckpointer³ v0.1</w:t>
            </w:r>
          </w:p>
        </w:tc>
        <w:tc>
          <w:tcPr>
            <w:tcW w:type="dxa" w:w="321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.see3-wrapped checkpoint persistence with confidence metadata</w:t>
            </w:r>
          </w:p>
        </w:tc>
        <w:tc>
          <w:tcPr>
            <w:tcW w:type="dxa" w:w="321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TernaryTrainer³, Gamma Platform storage</w:t>
            </w:r>
          </w:p>
        </w:tc>
      </w:tr>
      <w:tr>
        <w:tc>
          <w:tcPr>
            <w:tcW w:type="dxa" w:w="3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ConfidenceEventLog³ extension</w:t>
            </w:r>
          </w:p>
        </w:tc>
        <w:tc>
          <w:tcPr>
            <w:tcW w:type="dxa" w:w="3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Training audit trail entries appended to existing inference log schema</w:t>
            </w:r>
          </w:p>
        </w:tc>
        <w:tc>
          <w:tcPr>
            <w:tcW w:type="dxa" w:w="32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TernaryTrainer³</w:t>
            </w:r>
          </w:p>
        </w:tc>
      </w:tr>
      <w:tr>
        <w:tc>
          <w:tcPr>
            <w:tcW w:type="dxa" w:w="321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MLX harness runner</w:t>
            </w:r>
          </w:p>
        </w:tc>
        <w:tc>
          <w:tcPr>
            <w:tcW w:type="dxa" w:w="321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CLI entry point: python -m tern_core.train --config harness.yaml</w:t>
            </w:r>
          </w:p>
        </w:tc>
        <w:tc>
          <w:tcPr>
            <w:tcW w:type="dxa" w:w="321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TernaryTrainer³</w:t>
            </w:r>
          </w:p>
        </w:tc>
      </w:tr>
    </w:tbl>
    <w:p>
      <w:pPr>
        <w:spacing w:after="0" w:before="100"/>
      </w:pPr>
      <w:r>
        <w:t xml:space="preserve"/>
      </w:r>
    </w:p>
    <w:p>
      <w:pPr>
        <w:pStyle w:val="Heading3"/>
        <w:spacing w:after="80" w:before="200"/>
      </w:pPr>
      <w:r>
        <w:rPr>
          <w:rFonts w:ascii="Arial" w:cs="Arial" w:eastAsia="Arial" w:hAnsi="Arial"/>
          <w:b/>
          <w:bCs/>
          <w:color w:val="C47A00"/>
          <w:sz w:val="26"/>
          <w:szCs w:val="26"/>
        </w:rPr>
        <w:t xml:space="preserve">7.3 Phase 3 — Validation (Weeks 5–6)</w:t>
      </w:r>
    </w:p>
    <w:p>
      <w:pPr>
        <w:spacing w:after="0" w:before="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c>
          <w:tcPr>
            <w:tcW w:type="dxa" w:w="3212"/>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2"/>
                <w:szCs w:val="22"/>
              </w:rPr>
              <w:t xml:space="preserve">Target</w:t>
            </w:r>
          </w:p>
        </w:tc>
        <w:tc>
          <w:tcPr>
            <w:tcW w:type="dxa" w:w="3212"/>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3214"/>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2"/>
                <w:szCs w:val="22"/>
              </w:rPr>
              <w:t xml:space="preserve">Success Criterion</w:t>
            </w:r>
          </w:p>
        </w:tc>
      </w:tr>
      <w:tr>
        <w:tc>
          <w:tcPr>
            <w:tcW w:type="dxa" w:w="3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Mistral-7B TFH run</w:t>
            </w:r>
          </w:p>
        </w:tc>
        <w:tc>
          <w:tcPr>
            <w:tcW w:type="dxa" w:w="3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Fine-tune Mistral-7B via TFH on annotated subset of FLAN</w:t>
            </w:r>
          </w:p>
        </w:tc>
        <w:tc>
          <w:tcPr>
            <w:tcW w:type="dxa" w:w="32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Perplexity ≤ base model + 3%; confidence calibration ECE ≤ 0.10</w:t>
            </w:r>
          </w:p>
        </w:tc>
      </w:tr>
      <w:tr>
        <w:tc>
          <w:tcPr>
            <w:tcW w:type="dxa" w:w="321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Confidence propagation test</w:t>
            </w:r>
          </w:p>
        </w:tc>
        <w:tc>
          <w:tcPr>
            <w:tcW w:type="dxa" w:w="321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Deploy TFH-trained model in Gamma Platform inference stack</w:t>
            </w:r>
          </w:p>
        </w:tc>
        <w:tc>
          <w:tcPr>
            <w:tcW w:type="dxa" w:w="321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Agent epistemic states match training-time confidence annotations</w:t>
            </w:r>
          </w:p>
        </w:tc>
      </w:tr>
      <w:tr>
        <w:tc>
          <w:tcPr>
            <w:tcW w:type="dxa" w:w="3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Mac Mini benchmark</w:t>
            </w:r>
          </w:p>
        </w:tc>
        <w:tc>
          <w:tcPr>
            <w:tcW w:type="dxa" w:w="3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Measure tokens/second and memory peak during TFH training step</w:t>
            </w:r>
          </w:p>
        </w:tc>
        <w:tc>
          <w:tcPr>
            <w:tcW w:type="dxa" w:w="32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Throughput ≥ 500 tokens/sec at batch size 4; peak memory ≤ 14GB</w:t>
            </w:r>
          </w:p>
        </w:tc>
      </w:tr>
      <w:tr>
        <w:tc>
          <w:tcPr>
            <w:tcW w:type="dxa" w:w="321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KAIST demo package</w:t>
            </w:r>
          </w:p>
        </w:tc>
        <w:tc>
          <w:tcPr>
            <w:tcW w:type="dxa" w:w="321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End-to-end demonstration: ternary training → compressed model → Gamma Platform agent</w:t>
            </w:r>
          </w:p>
        </w:tc>
        <w:tc>
          <w:tcPr>
            <w:tcW w:type="dxa" w:w="321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Suitable for live demonstration at KAIST or via video</w:t>
            </w:r>
          </w:p>
        </w:tc>
      </w:tr>
    </w:tbl>
    <w:p>
      <w:pPr>
        <w:spacing w:after="0" w:before="120"/>
      </w:pPr>
      <w:r>
        <w:t xml:space="preserve"/>
      </w:r>
    </w:p>
    <w:p>
      <w:pPr>
        <w:pStyle w:val="Heading2"/>
        <w:pBdr>
          <w:bottom w:val="single" w:color="1A6B6B" w:sz="4" w:space="4"/>
        </w:pBdr>
        <w:spacing w:after="120" w:before="280"/>
      </w:pPr>
      <w:r>
        <w:rPr>
          <w:rFonts w:ascii="Arial" w:cs="Arial" w:eastAsia="Arial" w:hAnsi="Arial"/>
          <w:b/>
          <w:bCs/>
          <w:color w:val="1A6B6B"/>
          <w:sz w:val="28"/>
          <w:szCs w:val="28"/>
        </w:rPr>
        <w:t xml:space="preserve">8. Patent Portfolio Relevance</w:t>
      </w:r>
    </w:p>
    <w:p>
      <w:pPr>
        <w:spacing w:after="120" w:before="80"/>
      </w:pPr>
      <w:r>
        <w:rPr>
          <w:rFonts w:ascii="Arial" w:cs="Arial" w:eastAsia="Arial" w:hAnsi="Arial"/>
          <w:b w:val="false"/>
          <w:bCs w:val="false"/>
          <w:i w:val="false"/>
          <w:iCs w:val="false"/>
          <w:color w:val="1A1A1A"/>
          <w:sz w:val="24"/>
          <w:szCs w:val="24"/>
        </w:rPr>
        <w:t xml:space="preserve">The TFH introduces novel claims at three layers of the portfolio. The composite loss function incorporating ternary confidence triples as a training objective is not covered by existing provisionals and should be assessed by Rod as a candidate for an additional provisional filing. The EpistemicAnnotator³ mechanism for attaching confidence triples to weight clusters during training, and the continuity property that maps training-time confidence into inference-time agent prior states, are both potentially novel claims that extend the architecture patents in P096 through P100.</w:t>
      </w:r>
    </w:p>
    <w:p>
      <w:pPr>
        <w:spacing w:after="0" w:before="60"/>
      </w:pPr>
      <w:r>
        <w:t xml:space="preserve"/>
      </w:r>
    </w:p>
    <w:p>
      <w:pPr>
        <w:spacing w:after="120" w:before="80"/>
      </w:pPr>
      <w:r>
        <w:rPr>
          <w:rFonts w:ascii="Arial" w:cs="Arial" w:eastAsia="Arial" w:hAnsi="Arial"/>
          <w:b w:val="false"/>
          <w:bCs w:val="false"/>
          <w:i w:val="false"/>
          <w:iCs w:val="false"/>
          <w:color w:val="1A1A1A"/>
          <w:sz w:val="24"/>
          <w:szCs w:val="24"/>
        </w:rPr>
        <w:t xml:space="preserve">The training-time use of the ConfidenceEventLog³ as a dual-purpose audit trail (inference and training) may also be claimable as a system integration claim, particularly in the context of the Multi-Agent Epistemic Ledger (P100), where the training history of confidence calibration contributes to the agent's epistemic state at deployment.</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1A6B6B"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Action Item — Rod</w:t>
            </w:r>
          </w:p>
        </w:tc>
        <w:tc>
          <w:tcPr>
            <w:tcW w:type="dxa" w:w="7838"/>
            <w:tcBorders>
              <w:top w:val="single" w:color="CCCCCC" w:sz="1"/>
              <w:left w:val="single" w:color="CCCCCC" w:sz="1"/>
              <w:bottom w:val="single" w:color="CCCCCC" w:sz="1"/>
              <w:right w:val="single" w:color="CCCCCC" w:sz="1"/>
            </w:tcBorders>
            <w:shd w:fill="E8F4F4" w:val="clear"/>
            <w:tcMar>
              <w:top w:type="dxa" w:w="100"/>
              <w:left w:type="dxa" w:w="140"/>
              <w:bottom w:type="dxa" w:w="100"/>
              <w:right w:type="dxa" w:w="140"/>
            </w:tcMar>
          </w:tcPr>
          <w:p>
            <w:r>
              <w:rPr>
                <w:rFonts w:ascii="Arial" w:cs="Arial" w:eastAsia="Arial" w:hAnsi="Arial"/>
                <w:color w:val="1A1A1A"/>
                <w:sz w:val="22"/>
                <w:szCs w:val="22"/>
              </w:rPr>
              <w:t xml:space="preserve">Prior to beginning Phase 1 build, confirm with Rod whether the TFH composite loss function and EpistemicAnnotator³ mechanism should be captured in a new provisional filing before the Phase 3 KAIST demonstration. The demonstration itself may constitute public disclosure depending on the audience.</w:t>
            </w:r>
          </w:p>
        </w:tc>
      </w:tr>
    </w:tbl>
    <w:p>
      <w:pPr>
        <w:spacing w:after="0" w:before="120"/>
      </w:pPr>
      <w:r>
        <w:t xml:space="preserve"/>
      </w:r>
    </w:p>
    <w:p>
      <w:pPr>
        <w:pStyle w:val="Heading2"/>
        <w:pBdr>
          <w:bottom w:val="single" w:color="1A6B6B" w:sz="4" w:space="4"/>
        </w:pBdr>
        <w:spacing w:after="120" w:before="280"/>
      </w:pPr>
      <w:r>
        <w:rPr>
          <w:rFonts w:ascii="Arial" w:cs="Arial" w:eastAsia="Arial" w:hAnsi="Arial"/>
          <w:b/>
          <w:bCs/>
          <w:color w:val="1A6B6B"/>
          <w:sz w:val="28"/>
          <w:szCs w:val="28"/>
        </w:rPr>
        <w:t xml:space="preserve">9. Configuration Reference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A8E6CF"/>
                <w:sz w:val="18"/>
                <w:szCs w:val="18"/>
              </w:rPr>
              <w:t xml:space="preserve"># harness.yaml — TernaryTrainer³ configuration reference</w:t>
            </w:r>
          </w:p>
          <w:p>
            <w:pPr>
              <w:spacing w:after="20" w:before="20"/>
            </w:pPr>
            <w:r>
              <w:rPr>
                <w:rFonts w:ascii="Courier New" w:cs="Courier New" w:eastAsia="Courier New" w:hAnsi="Courier New"/>
                <w:color w:val="A8E6CF"/>
                <w:sz w:val="18"/>
                <w:szCs w:val="18"/>
              </w:rPr>
              <w:t xml:space="preserve"> </w:t>
            </w:r>
          </w:p>
          <w:p>
            <w:pPr>
              <w:spacing w:after="20" w:before="20"/>
            </w:pPr>
            <w:r>
              <w:rPr>
                <w:rFonts w:ascii="Courier New" w:cs="Courier New" w:eastAsia="Courier New" w:hAnsi="Courier New"/>
                <w:color w:val="A8E6CF"/>
                <w:sz w:val="18"/>
                <w:szCs w:val="18"/>
              </w:rPr>
              <w:t xml:space="preserve">model:</w:t>
            </w:r>
          </w:p>
          <w:p>
            <w:pPr>
              <w:spacing w:after="20" w:before="20"/>
            </w:pPr>
            <w:r>
              <w:rPr>
                <w:rFonts w:ascii="Courier New" w:cs="Courier New" w:eastAsia="Courier New" w:hAnsi="Courier New"/>
                <w:color w:val="A8E6CF"/>
                <w:sz w:val="18"/>
                <w:szCs w:val="18"/>
              </w:rPr>
              <w:t xml:space="preserve">  path: "models/mistral-7b-ternary"      # tern-core compressed checkpoint</w:t>
            </w:r>
          </w:p>
          <w:p>
            <w:pPr>
              <w:spacing w:after="20" w:before="20"/>
            </w:pPr>
            <w:r>
              <w:rPr>
                <w:rFonts w:ascii="Courier New" w:cs="Courier New" w:eastAsia="Courier New" w:hAnsi="Courier New"/>
                <w:color w:val="A8E6CF"/>
                <w:sz w:val="18"/>
                <w:szCs w:val="18"/>
              </w:rPr>
              <w:t xml:space="preserve">  format: "ternary-v2"                   # tern-core weight format version</w:t>
            </w:r>
          </w:p>
          <w:p>
            <w:pPr>
              <w:spacing w:after="20" w:before="20"/>
            </w:pPr>
            <w:r>
              <w:rPr>
                <w:rFonts w:ascii="Courier New" w:cs="Courier New" w:eastAsia="Courier New" w:hAnsi="Courier New"/>
                <w:color w:val="A8E6CF"/>
                <w:sz w:val="18"/>
                <w:szCs w:val="18"/>
              </w:rPr>
              <w:t xml:space="preserve">  adapter: "lora"                        # lora | qlora | full</w:t>
            </w:r>
          </w:p>
          <w:p>
            <w:pPr>
              <w:spacing w:after="20" w:before="20"/>
            </w:pPr>
            <w:r>
              <w:rPr>
                <w:rFonts w:ascii="Courier New" w:cs="Courier New" w:eastAsia="Courier New" w:hAnsi="Courier New"/>
                <w:color w:val="A8E6CF"/>
                <w:sz w:val="18"/>
                <w:szCs w:val="18"/>
              </w:rPr>
              <w:t xml:space="preserve">  lora_rank: 16</w:t>
            </w:r>
          </w:p>
          <w:p>
            <w:pPr>
              <w:spacing w:after="20" w:before="20"/>
            </w:pPr>
            <w:r>
              <w:rPr>
                <w:rFonts w:ascii="Courier New" w:cs="Courier New" w:eastAsia="Courier New" w:hAnsi="Courier New"/>
                <w:color w:val="A8E6CF"/>
                <w:sz w:val="18"/>
                <w:szCs w:val="18"/>
              </w:rPr>
              <w:t xml:space="preserve"> </w:t>
            </w:r>
          </w:p>
          <w:p>
            <w:pPr>
              <w:spacing w:after="20" w:before="20"/>
            </w:pPr>
            <w:r>
              <w:rPr>
                <w:rFonts w:ascii="Courier New" w:cs="Courier New" w:eastAsia="Courier New" w:hAnsi="Courier New"/>
                <w:color w:val="A8E6CF"/>
                <w:sz w:val="18"/>
                <w:szCs w:val="18"/>
              </w:rPr>
              <w:t xml:space="preserve">training:</w:t>
            </w:r>
          </w:p>
          <w:p>
            <w:pPr>
              <w:spacing w:after="20" w:before="20"/>
            </w:pPr>
            <w:r>
              <w:rPr>
                <w:rFonts w:ascii="Courier New" w:cs="Courier New" w:eastAsia="Courier New" w:hAnsi="Courier New"/>
                <w:color w:val="A8E6CF"/>
                <w:sz w:val="18"/>
                <w:szCs w:val="18"/>
              </w:rPr>
              <w:t xml:space="preserve">  batch_size: 4</w:t>
            </w:r>
          </w:p>
          <w:p>
            <w:pPr>
              <w:spacing w:after="20" w:before="20"/>
            </w:pPr>
            <w:r>
              <w:rPr>
                <w:rFonts w:ascii="Courier New" w:cs="Courier New" w:eastAsia="Courier New" w:hAnsi="Courier New"/>
                <w:color w:val="A8E6CF"/>
                <w:sz w:val="18"/>
                <w:szCs w:val="18"/>
              </w:rPr>
              <w:t xml:space="preserve">  gradient_accumulation_steps: 8         # effective batch size: 32</w:t>
            </w:r>
          </w:p>
          <w:p>
            <w:pPr>
              <w:spacing w:after="20" w:before="20"/>
            </w:pPr>
            <w:r>
              <w:rPr>
                <w:rFonts w:ascii="Courier New" w:cs="Courier New" w:eastAsia="Courier New" w:hAnsi="Courier New"/>
                <w:color w:val="A8E6CF"/>
                <w:sz w:val="18"/>
                <w:szCs w:val="18"/>
              </w:rPr>
              <w:t xml:space="preserve">  learning_rate: 2.0e-4</w:t>
            </w:r>
          </w:p>
          <w:p>
            <w:pPr>
              <w:spacing w:after="20" w:before="20"/>
            </w:pPr>
            <w:r>
              <w:rPr>
                <w:rFonts w:ascii="Courier New" w:cs="Courier New" w:eastAsia="Courier New" w:hAnsi="Courier New"/>
                <w:color w:val="A8E6CF"/>
                <w:sz w:val="18"/>
                <w:szCs w:val="18"/>
              </w:rPr>
              <w:t xml:space="preserve">  max_steps: 10000</w:t>
            </w:r>
          </w:p>
          <w:p>
            <w:pPr>
              <w:spacing w:after="20" w:before="20"/>
            </w:pPr>
            <w:r>
              <w:rPr>
                <w:rFonts w:ascii="Courier New" w:cs="Courier New" w:eastAsia="Courier New" w:hAnsi="Courier New"/>
                <w:color w:val="A8E6CF"/>
                <w:sz w:val="18"/>
                <w:szCs w:val="18"/>
              </w:rPr>
              <w:t xml:space="preserve">  warmup_steps: 500</w:t>
            </w:r>
          </w:p>
          <w:p>
            <w:pPr>
              <w:spacing w:after="20" w:before="20"/>
            </w:pPr>
            <w:r>
              <w:rPr>
                <w:rFonts w:ascii="Courier New" w:cs="Courier New" w:eastAsia="Courier New" w:hAnsi="Courier New"/>
                <w:color w:val="A8E6CF"/>
                <w:sz w:val="18"/>
                <w:szCs w:val="18"/>
              </w:rPr>
              <w:t xml:space="preserve"> </w:t>
            </w:r>
          </w:p>
          <w:p>
            <w:pPr>
              <w:spacing w:after="20" w:before="20"/>
            </w:pPr>
            <w:r>
              <w:rPr>
                <w:rFonts w:ascii="Courier New" w:cs="Courier New" w:eastAsia="Courier New" w:hAnsi="Courier New"/>
                <w:color w:val="A8E6CF"/>
                <w:sz w:val="18"/>
                <w:szCs w:val="18"/>
              </w:rPr>
              <w:t xml:space="preserve">ternary_projector:</w:t>
            </w:r>
          </w:p>
          <w:p>
            <w:pPr>
              <w:spacing w:after="20" w:before="20"/>
            </w:pPr>
            <w:r>
              <w:rPr>
                <w:rFonts w:ascii="Courier New" w:cs="Courier New" w:eastAsia="Courier New" w:hAnsi="Courier New"/>
                <w:color w:val="A8E6CF"/>
                <w:sz w:val="18"/>
                <w:szCs w:val="18"/>
              </w:rPr>
              <w:t xml:space="preserve">  initial_temperature: 1.0               # anneals to 0.01 over training</w:t>
            </w:r>
          </w:p>
          <w:p>
            <w:pPr>
              <w:spacing w:after="20" w:before="20"/>
            </w:pPr>
            <w:r>
              <w:rPr>
                <w:rFonts w:ascii="Courier New" w:cs="Courier New" w:eastAsia="Courier New" w:hAnsi="Courier New"/>
                <w:color w:val="A8E6CF"/>
                <w:sz w:val="18"/>
                <w:szCs w:val="18"/>
              </w:rPr>
              <w:t xml:space="preserve">  final_temperature: 0.01</w:t>
            </w:r>
          </w:p>
          <w:p>
            <w:pPr>
              <w:spacing w:after="20" w:before="20"/>
            </w:pPr>
            <w:r>
              <w:rPr>
                <w:rFonts w:ascii="Courier New" w:cs="Courier New" w:eastAsia="Courier New" w:hAnsi="Courier New"/>
                <w:color w:val="A8E6CF"/>
                <w:sz w:val="18"/>
                <w:szCs w:val="18"/>
              </w:rPr>
              <w:t xml:space="preserve">  sparsity_target: 0.90</w:t>
            </w:r>
          </w:p>
          <w:p>
            <w:pPr>
              <w:spacing w:after="20" w:before="20"/>
            </w:pPr>
            <w:r>
              <w:rPr>
                <w:rFonts w:ascii="Courier New" w:cs="Courier New" w:eastAsia="Courier New" w:hAnsi="Courier New"/>
                <w:color w:val="A8E6CF"/>
                <w:sz w:val="18"/>
                <w:szCs w:val="18"/>
              </w:rPr>
              <w:t xml:space="preserve"> </w:t>
            </w:r>
          </w:p>
          <w:p>
            <w:pPr>
              <w:spacing w:after="20" w:before="20"/>
            </w:pPr>
            <w:r>
              <w:rPr>
                <w:rFonts w:ascii="Courier New" w:cs="Courier New" w:eastAsia="Courier New" w:hAnsi="Courier New"/>
                <w:color w:val="A8E6CF"/>
                <w:sz w:val="18"/>
                <w:szCs w:val="18"/>
              </w:rPr>
              <w:t xml:space="preserve">confidence_objective:</w:t>
            </w:r>
          </w:p>
          <w:p>
            <w:pPr>
              <w:spacing w:after="20" w:before="20"/>
            </w:pPr>
            <w:r>
              <w:rPr>
                <w:rFonts w:ascii="Courier New" w:cs="Courier New" w:eastAsia="Courier New" w:hAnsi="Courier New"/>
                <w:color w:val="A8E6CF"/>
                <w:sz w:val="18"/>
                <w:szCs w:val="18"/>
              </w:rPr>
              <w:t xml:space="preserve">  alpha_initial: 0.0                     # anneals to 1.0 over training</w:t>
            </w:r>
          </w:p>
          <w:p>
            <w:pPr>
              <w:spacing w:after="20" w:before="20"/>
            </w:pPr>
            <w:r>
              <w:rPr>
                <w:rFonts w:ascii="Courier New" w:cs="Courier New" w:eastAsia="Courier New" w:hAnsi="Courier New"/>
                <w:color w:val="A8E6CF"/>
                <w:sz w:val="18"/>
                <w:szCs w:val="18"/>
              </w:rPr>
              <w:t xml:space="preserve">  alpha_final: 1.0</w:t>
            </w:r>
          </w:p>
          <w:p>
            <w:pPr>
              <w:spacing w:after="20" w:before="20"/>
            </w:pPr>
            <w:r>
              <w:rPr>
                <w:rFonts w:ascii="Courier New" w:cs="Courier New" w:eastAsia="Courier New" w:hAnsi="Courier New"/>
                <w:color w:val="A8E6CF"/>
                <w:sz w:val="18"/>
                <w:szCs w:val="18"/>
              </w:rPr>
              <w:t xml:space="preserve">  alpha_warmup_steps: 2000</w:t>
            </w:r>
          </w:p>
          <w:p>
            <w:pPr>
              <w:spacing w:after="20" w:before="20"/>
            </w:pPr>
            <w:r>
              <w:rPr>
                <w:rFonts w:ascii="Courier New" w:cs="Courier New" w:eastAsia="Courier New" w:hAnsi="Courier New"/>
                <w:color w:val="A8E6CF"/>
                <w:sz w:val="18"/>
                <w:szCs w:val="18"/>
              </w:rPr>
              <w:t xml:space="preserve">  sparsity_penalty_weight: 0.1</w:t>
            </w:r>
          </w:p>
          <w:p>
            <w:pPr>
              <w:spacing w:after="20" w:before="20"/>
            </w:pPr>
            <w:r>
              <w:rPr>
                <w:rFonts w:ascii="Courier New" w:cs="Courier New" w:eastAsia="Courier New" w:hAnsi="Courier New"/>
                <w:color w:val="A8E6CF"/>
                <w:sz w:val="18"/>
                <w:szCs w:val="18"/>
              </w:rPr>
              <w:t xml:space="preserve">  calibration_loss: "kl_divergence"      # kl_divergence | focal | brier</w:t>
            </w:r>
          </w:p>
          <w:p>
            <w:pPr>
              <w:spacing w:after="20" w:before="20"/>
            </w:pPr>
            <w:r>
              <w:rPr>
                <w:rFonts w:ascii="Courier New" w:cs="Courier New" w:eastAsia="Courier New" w:hAnsi="Courier New"/>
                <w:color w:val="A8E6CF"/>
                <w:sz w:val="18"/>
                <w:szCs w:val="18"/>
              </w:rPr>
              <w:t xml:space="preserve"> </w:t>
            </w:r>
          </w:p>
          <w:p>
            <w:pPr>
              <w:spacing w:after="20" w:before="20"/>
            </w:pPr>
            <w:r>
              <w:rPr>
                <w:rFonts w:ascii="Courier New" w:cs="Courier New" w:eastAsia="Courier New" w:hAnsi="Courier New"/>
                <w:color w:val="A8E6CF"/>
                <w:sz w:val="18"/>
                <w:szCs w:val="18"/>
              </w:rPr>
              <w:t xml:space="preserve">data:</w:t>
            </w:r>
          </w:p>
          <w:p>
            <w:pPr>
              <w:spacing w:after="20" w:before="20"/>
            </w:pPr>
            <w:r>
              <w:rPr>
                <w:rFonts w:ascii="Courier New" w:cs="Courier New" w:eastAsia="Courier New" w:hAnsi="Courier New"/>
                <w:color w:val="A8E6CF"/>
                <w:sz w:val="18"/>
                <w:szCs w:val="18"/>
              </w:rPr>
              <w:t xml:space="preserve">  train_path: "data/flan_epistemic/"</w:t>
            </w:r>
          </w:p>
          <w:p>
            <w:pPr>
              <w:spacing w:after="20" w:before="20"/>
            </w:pPr>
            <w:r>
              <w:rPr>
                <w:rFonts w:ascii="Courier New" w:cs="Courier New" w:eastAsia="Courier New" w:hAnsi="Courier New"/>
                <w:color w:val="A8E6CF"/>
                <w:sz w:val="18"/>
                <w:szCs w:val="18"/>
              </w:rPr>
              <w:t xml:space="preserve">  epistemic_label_schema: "v1"</w:t>
            </w:r>
          </w:p>
          <w:p>
            <w:pPr>
              <w:spacing w:after="20" w:before="20"/>
            </w:pPr>
            <w:r>
              <w:rPr>
                <w:rFonts w:ascii="Courier New" w:cs="Courier New" w:eastAsia="Courier New" w:hAnsi="Courier New"/>
                <w:color w:val="A8E6CF"/>
                <w:sz w:val="18"/>
                <w:szCs w:val="18"/>
              </w:rPr>
              <w:t xml:space="preserve">  domain_weights:</w:t>
            </w:r>
          </w:p>
          <w:p>
            <w:pPr>
              <w:spacing w:after="20" w:before="20"/>
            </w:pPr>
            <w:r>
              <w:rPr>
                <w:rFonts w:ascii="Courier New" w:cs="Courier New" w:eastAsia="Courier New" w:hAnsi="Courier New"/>
                <w:color w:val="A8E6CF"/>
                <w:sz w:val="18"/>
                <w:szCs w:val="18"/>
              </w:rPr>
              <w:t xml:space="preserve">    factual: 0.40</w:t>
            </w:r>
          </w:p>
          <w:p>
            <w:pPr>
              <w:spacing w:after="20" w:before="20"/>
            </w:pPr>
            <w:r>
              <w:rPr>
                <w:rFonts w:ascii="Courier New" w:cs="Courier New" w:eastAsia="Courier New" w:hAnsi="Courier New"/>
                <w:color w:val="A8E6CF"/>
                <w:sz w:val="18"/>
                <w:szCs w:val="18"/>
              </w:rPr>
              <w:t xml:space="preserve">    reasoning: 0.35</w:t>
            </w:r>
          </w:p>
          <w:p>
            <w:pPr>
              <w:spacing w:after="20" w:before="20"/>
            </w:pPr>
            <w:r>
              <w:rPr>
                <w:rFonts w:ascii="Courier New" w:cs="Courier New" w:eastAsia="Courier New" w:hAnsi="Courier New"/>
                <w:color w:val="A8E6CF"/>
                <w:sz w:val="18"/>
                <w:szCs w:val="18"/>
              </w:rPr>
              <w:t xml:space="preserve">    agentic: 0.20</w:t>
            </w:r>
          </w:p>
          <w:p>
            <w:pPr>
              <w:spacing w:after="20" w:before="20"/>
            </w:pPr>
            <w:r>
              <w:rPr>
                <w:rFonts w:ascii="Courier New" w:cs="Courier New" w:eastAsia="Courier New" w:hAnsi="Courier New"/>
                <w:color w:val="A8E6CF"/>
                <w:sz w:val="18"/>
                <w:szCs w:val="18"/>
              </w:rPr>
              <w:t xml:space="preserve">    creative: 0.05</w:t>
            </w:r>
          </w:p>
          <w:p>
            <w:pPr>
              <w:spacing w:after="20" w:before="20"/>
            </w:pPr>
            <w:r>
              <w:rPr>
                <w:rFonts w:ascii="Courier New" w:cs="Courier New" w:eastAsia="Courier New" w:hAnsi="Courier New"/>
                <w:color w:val="A8E6CF"/>
                <w:sz w:val="18"/>
                <w:szCs w:val="18"/>
              </w:rPr>
              <w:t xml:space="preserve"> </w:t>
            </w:r>
          </w:p>
          <w:p>
            <w:pPr>
              <w:spacing w:after="20" w:before="20"/>
            </w:pPr>
            <w:r>
              <w:rPr>
                <w:rFonts w:ascii="Courier New" w:cs="Courier New" w:eastAsia="Courier New" w:hAnsi="Courier New"/>
                <w:color w:val="A8E6CF"/>
                <w:sz w:val="18"/>
                <w:szCs w:val="18"/>
              </w:rPr>
              <w:t xml:space="preserve">checkpointing:</w:t>
            </w:r>
          </w:p>
          <w:p>
            <w:pPr>
              <w:spacing w:after="20" w:before="20"/>
            </w:pPr>
            <w:r>
              <w:rPr>
                <w:rFonts w:ascii="Courier New" w:cs="Courier New" w:eastAsia="Courier New" w:hAnsi="Courier New"/>
                <w:color w:val="A8E6CF"/>
                <w:sz w:val="18"/>
                <w:szCs w:val="18"/>
              </w:rPr>
              <w:t xml:space="preserve">  save_every_steps: 500</w:t>
            </w:r>
          </w:p>
          <w:p>
            <w:pPr>
              <w:spacing w:after="20" w:before="20"/>
            </w:pPr>
            <w:r>
              <w:rPr>
                <w:rFonts w:ascii="Courier New" w:cs="Courier New" w:eastAsia="Courier New" w:hAnsi="Courier New"/>
                <w:color w:val="A8E6CF"/>
                <w:sz w:val="18"/>
                <w:szCs w:val="18"/>
              </w:rPr>
              <w:t xml:space="preserve">  format: "see3"                         # Gamma Platform native format</w:t>
            </w:r>
          </w:p>
          <w:p>
            <w:pPr>
              <w:spacing w:after="20" w:before="20"/>
            </w:pPr>
            <w:r>
              <w:rPr>
                <w:rFonts w:ascii="Courier New" w:cs="Courier New" w:eastAsia="Courier New" w:hAnsi="Courier New"/>
                <w:color w:val="A8E6CF"/>
                <w:sz w:val="18"/>
                <w:szCs w:val="18"/>
              </w:rPr>
              <w:t xml:space="preserve">  output_dir: "checkpoints/tfh-run-001"</w:t>
            </w:r>
          </w:p>
          <w:p>
            <w:pPr>
              <w:spacing w:after="20" w:before="20"/>
            </w:pPr>
            <w:r>
              <w:rPr>
                <w:rFonts w:ascii="Courier New" w:cs="Courier New" w:eastAsia="Courier New" w:hAnsi="Courier New"/>
                <w:color w:val="A8E6CF"/>
                <w:sz w:val="18"/>
                <w:szCs w:val="18"/>
              </w:rPr>
              <w:t xml:space="preserve"> </w:t>
            </w:r>
          </w:p>
          <w:p>
            <w:pPr>
              <w:spacing w:after="20" w:before="20"/>
            </w:pPr>
            <w:r>
              <w:rPr>
                <w:rFonts w:ascii="Courier New" w:cs="Courier New" w:eastAsia="Courier New" w:hAnsi="Courier New"/>
                <w:color w:val="A8E6CF"/>
                <w:sz w:val="18"/>
                <w:szCs w:val="18"/>
              </w:rPr>
              <w:t xml:space="preserve">platform:</w:t>
            </w:r>
          </w:p>
          <w:p>
            <w:pPr>
              <w:spacing w:after="20" w:before="20"/>
            </w:pPr>
            <w:r>
              <w:rPr>
                <w:rFonts w:ascii="Courier New" w:cs="Courier New" w:eastAsia="Courier New" w:hAnsi="Courier New"/>
                <w:color w:val="A8E6CF"/>
                <w:sz w:val="18"/>
                <w:szCs w:val="18"/>
              </w:rPr>
              <w:t xml:space="preserve">  mlx_device: "gpu"                      # Apple M4 Pro GPU</w:t>
            </w:r>
          </w:p>
          <w:p>
            <w:pPr>
              <w:spacing w:after="20" w:before="20"/>
            </w:pPr>
            <w:r>
              <w:rPr>
                <w:rFonts w:ascii="Courier New" w:cs="Courier New" w:eastAsia="Courier New" w:hAnsi="Courier New"/>
                <w:color w:val="A8E6CF"/>
                <w:sz w:val="18"/>
                <w:szCs w:val="18"/>
              </w:rPr>
              <w:t xml:space="preserve">  memory_limit_gb: 48                    # conservative ceiling for 64GB system</w:t>
            </w:r>
          </w:p>
          <w:p>
            <w:pPr>
              <w:spacing w:after="20" w:before="20"/>
            </w:pPr>
            <w:r>
              <w:rPr>
                <w:rFonts w:ascii="Courier New" w:cs="Courier New" w:eastAsia="Courier New" w:hAnsi="Courier New"/>
                <w:color w:val="A8E6CF"/>
                <w:sz w:val="18"/>
                <w:szCs w:val="18"/>
              </w:rPr>
              <w:t xml:space="preserve">  log_to_confidence_event_log: true</w:t>
            </w:r>
          </w:p>
        </w:tc>
      </w:tr>
    </w:tbl>
    <w:p>
      <w:pPr>
        <w:spacing w:after="0" w:before="120"/>
      </w:pPr>
      <w:r>
        <w:t xml:space="preserve"/>
      </w:r>
    </w:p>
    <w:p>
      <w:pPr>
        <w:pBdr>
          <w:top w:val="single" w:color="1A6B6B" w:sz="4" w:space="4"/>
        </w:pBdr>
        <w:spacing w:after="20" w:before="80"/>
      </w:pPr>
      <w:r>
        <w:t xml:space="preserve"/>
      </w:r>
    </w:p>
    <w:p>
      <w:pPr>
        <w:spacing w:after="40" w:before="60"/>
        <w:jc w:val="center"/>
      </w:pPr>
      <w:r>
        <w:rPr>
          <w:rFonts w:ascii="Arial" w:cs="Arial" w:eastAsia="Arial" w:hAnsi="Arial"/>
          <w:i/>
          <w:iCs/>
          <w:color w:val="888888"/>
          <w:sz w:val="18"/>
          <w:szCs w:val="18"/>
        </w:rPr>
        <w:t xml:space="preserve">Gamma Seeds Pte Ltd   —   Synapticode Platform   —   SPEC-TFH-001 v0.1.0   —   April 2026</w:t>
      </w:r>
    </w:p>
    <w:p>
      <w:pPr>
        <w:spacing w:after="40" w:before="0"/>
        <w:jc w:val="center"/>
      </w:pPr>
      <w:r>
        <w:rPr>
          <w:rFonts w:ascii="Arial" w:cs="Arial" w:eastAsia="Arial" w:hAnsi="Arial"/>
          <w:i/>
          <w:iCs/>
          <w:color w:val="888888"/>
          <w:sz w:val="18"/>
          <w:szCs w:val="18"/>
        </w:rPr>
        <w:t xml:space="preserve">Confidential — Internal Technical Specification — Not for Distribution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4"/>
        <w:szCs w:val="24"/>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4"/>
        <w:szCs w:val="24"/>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80"/>
      <w:outlineLvl w:val="1"/>
    </w:pPr>
    <w:rPr>
      <w:rFonts w:ascii="Arial" w:cs="Arial" w:eastAsia="Arial" w:hAnsi="Arial"/>
      <w:b/>
      <w:bCs/>
      <w:color w:val="1A6B6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C47A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2026-04-08T01:26:52.850Z</dcterms:created>
  <dcterms:modified xsi:type="dcterms:W3CDTF">2026-04-08T01:26:52.851Z</dcterms:modified>
</cp:coreProperties>
</file>

<file path=docProps/custom.xml><?xml version="1.0" encoding="utf-8"?>
<Properties xmlns="http://schemas.openxmlformats.org/officeDocument/2006/custom-properties" xmlns:vt="http://schemas.openxmlformats.org/officeDocument/2006/docPropsVTypes"/>
</file>