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Georgia" w:cs="Georgia" w:eastAsia="Georgia" w:hAnsi="Georgia"/>
          <w:sz w:val="22"/>
          <w:szCs w:val="22"/>
        </w:rPr>
        <w:t xml:space="preserve"/>
      </w:r>
    </w:p>
    <w:p>
      <w:pPr>
        <w:pBdr>
          <w:bottom w:val="thick" w:color="C5952A" w:sz="24" w:space="2"/>
        </w:pBdr>
        <w:spacing w:after="0"/>
      </w:pPr>
      <w:r>
        <w:rPr>
          <w:rFonts w:ascii="Georgia" w:cs="Georgia" w:eastAsia="Georgia" w:hAnsi="Georgia"/>
          <w:sz w:val="22"/>
          <w:szCs w:val="22"/>
        </w:rPr>
        <w:t xml:space="preserve"/>
      </w:r>
    </w:p>
    <w:p>
      <w:pPr>
        <w:spacing w:after="40"/>
      </w:pPr>
      <w:r>
        <w:rPr>
          <w:rFonts w:ascii="Georgia" w:cs="Georgia" w:eastAsia="Georgia" w:hAnsi="Georgia"/>
          <w:sz w:val="22"/>
          <w:szCs w:val="22"/>
        </w:rPr>
        <w:t xml:space="preserve"/>
      </w:r>
    </w:p>
    <w:p>
      <w:pPr>
        <w:spacing w:after="120"/>
        <w:jc w:val="right"/>
      </w:pPr>
      <w:r>
        <w:rPr>
          <w:rFonts w:ascii="Arial" w:cs="Arial" w:eastAsia="Arial" w:hAnsi="Arial"/>
          <w:b/>
          <w:bCs/>
          <w:caps/>
          <w:color w:val="C5952A"/>
          <w:sz w:val="20"/>
          <w:szCs w:val="20"/>
        </w:rPr>
        <w:t xml:space="preserve">BUSINESS &amp; EXECUTIVE SUMMARY</w:t>
      </w:r>
    </w:p>
    <w:p>
      <w:pPr>
        <w:spacing w:after="80"/>
        <w:jc w:val="left"/>
      </w:pPr>
      <w:r>
        <w:rPr>
          <w:rFonts w:ascii="Arial" w:cs="Arial" w:eastAsia="Arial" w:hAnsi="Arial"/>
          <w:b/>
          <w:bCs/>
          <w:color w:val="0D2B55"/>
          <w:sz w:val="52"/>
          <w:szCs w:val="52"/>
        </w:rPr>
        <w:t xml:space="preserve">From Enterprise Data to AI Intelligence</w:t>
      </w:r>
    </w:p>
    <w:p>
      <w:pPr>
        <w:spacing w:after="80"/>
        <w:jc w:val="left"/>
      </w:pPr>
      <w:r>
        <w:rPr>
          <w:rFonts w:ascii="Arial" w:cs="Arial" w:eastAsia="Arial" w:hAnsi="Arial"/>
          <w:b w:val="false"/>
          <w:bCs w:val="false"/>
          <w:color w:val="1A4A8A"/>
          <w:sz w:val="36"/>
          <w:szCs w:val="36"/>
        </w:rPr>
        <w:t xml:space="preserve">The Strategic Case for Semantic Ontology</w:t>
      </w:r>
    </w:p>
    <w:p>
      <w:pPr>
        <w:spacing w:after="60"/>
      </w:pPr>
      <w:r>
        <w:rPr>
          <w:rFonts w:ascii="Georgia" w:cs="Georgia" w:eastAsia="Georgia" w:hAnsi="Georgia"/>
          <w:sz w:val="22"/>
          <w:szCs w:val="22"/>
        </w:rPr>
        <w:t xml:space="preserve"/>
      </w:r>
    </w:p>
    <w:p>
      <w:pPr>
        <w:pBdr>
          <w:top w:val="single" w:color="D1D5DB" w:sz="4" w:space="4"/>
        </w:pBdr>
        <w:spacing w:after="80" w:before="60"/>
        <w:jc w:val="left"/>
      </w:pPr>
      <w:r>
        <w:rPr>
          <w:rFonts w:ascii="Arial" w:cs="Arial" w:eastAsia="Arial" w:hAnsi="Arial"/>
          <w:color w:val="475569"/>
          <w:sz w:val="20"/>
          <w:szCs w:val="20"/>
        </w:rPr>
        <w:t xml:space="preserve">Ontology Engineering Toolkit  —  Framework v1.1  —  April 2026</w:t>
      </w:r>
    </w:p>
    <w:p>
      <w:pPr>
        <w:spacing w:after="40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BF3E3" w:val="clear"/>
            <w:tcMar>
              <w:top w:type="dxa" w:w="240"/>
              <w:left w:type="dxa" w:w="240"/>
              <w:bottom w:type="dxa" w:w="240"/>
              <w:right w:type="dxa" w:w="240"/>
            </w:tcMar>
          </w:tcPr>
          <w:p>
            <w:pPr>
              <w:spacing w:after="60"/>
              <w:jc w:val="center"/>
            </w:pPr>
            <w:r>
              <w:rPr>
                <w:rFonts w:ascii="Arial" w:cs="Arial" w:eastAsia="Arial" w:hAnsi="Arial"/>
                <w:b/>
                <w:bCs/>
                <w:color w:val="0D2B55"/>
                <w:sz w:val="64"/>
                <w:szCs w:val="64"/>
              </w:rPr>
              <w:t xml:space="preserve">$1.3T</w:t>
            </w:r>
          </w:p>
          <w:p>
            <w:pPr>
              <w:spacing w:after="40"/>
              <w:jc w:val="center"/>
            </w:pPr>
            <w:r>
              <w:rPr>
                <w:rFonts w:ascii="Arial" w:cs="Arial" w:eastAsia="Arial" w:hAnsi="Arial"/>
                <w:b/>
                <w:bCs/>
                <w:color w:val="1A4A8A"/>
                <w:sz w:val="22"/>
                <w:szCs w:val="22"/>
              </w:rPr>
              <w:t xml:space="preserve">AI investment gap</w:t>
            </w:r>
          </w:p>
          <w:p>
            <w:pPr>
              <w:spacing w:after="0"/>
              <w:jc w:val="center"/>
            </w:pPr>
            <w:r>
              <w:rPr>
                <w:rFonts w:ascii="Georgia" w:cs="Georgia" w:eastAsia="Georgia" w:hAnsi="Georgia"/>
                <w:color w:val="475569"/>
                <w:sz w:val="18"/>
                <w:szCs w:val="18"/>
              </w:rPr>
              <w:t xml:space="preserve">Lost annually due to poor data quality (IBM)</w:t>
            </w:r>
          </w:p>
        </w:tc>
        <w:tc>
          <w:tcPr>
            <w:tcW w:type="dxa" w:w="3120"/>
            <w:tcBorders>
              <w:top w:val="none"/>
              <w:left w:val="none"/>
              <w:bottom w:val="none"/>
              <w:right w:val="none"/>
            </w:tcBorders>
            <w:shd w:fill="E8EEF7" w:val="clear"/>
            <w:tcMar>
              <w:top w:type="dxa" w:w="240"/>
              <w:left w:type="dxa" w:w="240"/>
              <w:bottom w:type="dxa" w:w="240"/>
              <w:right w:type="dxa" w:w="240"/>
            </w:tcMar>
          </w:tcPr>
          <w:p>
            <w:pPr>
              <w:spacing w:after="60"/>
              <w:jc w:val="center"/>
            </w:pPr>
            <w:r>
              <w:rPr>
                <w:rFonts w:ascii="Arial" w:cs="Arial" w:eastAsia="Arial" w:hAnsi="Arial"/>
                <w:b/>
                <w:bCs/>
                <w:color w:val="0D2B55"/>
                <w:sz w:val="64"/>
                <w:szCs w:val="64"/>
              </w:rPr>
              <w:t xml:space="preserve">67%</w:t>
            </w:r>
          </w:p>
          <w:p>
            <w:pPr>
              <w:spacing w:after="40"/>
              <w:jc w:val="center"/>
            </w:pPr>
            <w:r>
              <w:rPr>
                <w:rFonts w:ascii="Arial" w:cs="Arial" w:eastAsia="Arial" w:hAnsi="Arial"/>
                <w:b/>
                <w:bCs/>
                <w:color w:val="1A4A8A"/>
                <w:sz w:val="22"/>
                <w:szCs w:val="22"/>
              </w:rPr>
              <w:t xml:space="preserve">AI projects stall</w:t>
            </w:r>
          </w:p>
          <w:p>
            <w:pPr>
              <w:spacing w:after="0"/>
              <w:jc w:val="center"/>
            </w:pPr>
            <w:r>
              <w:rPr>
                <w:rFonts w:ascii="Georgia" w:cs="Georgia" w:eastAsia="Georgia" w:hAnsi="Georgia"/>
                <w:color w:val="475569"/>
                <w:sz w:val="18"/>
                <w:szCs w:val="18"/>
              </w:rPr>
              <w:t xml:space="preserve">Cited 'data not AI-ready' as the primary cause</w:t>
            </w:r>
          </w:p>
        </w:tc>
        <w:tc>
          <w:tcPr>
            <w:tcW w:type="dxa" w:w="3120"/>
            <w:tcBorders>
              <w:top w:val="none"/>
              <w:left w:val="none"/>
              <w:bottom w:val="none"/>
              <w:right w:val="none"/>
            </w:tcBorders>
            <w:shd w:fill="E8F6F3" w:val="clear"/>
            <w:tcMar>
              <w:top w:type="dxa" w:w="240"/>
              <w:left w:type="dxa" w:w="240"/>
              <w:bottom w:type="dxa" w:w="240"/>
              <w:right w:type="dxa" w:w="240"/>
            </w:tcMar>
          </w:tcPr>
          <w:p>
            <w:pPr>
              <w:spacing w:after="60"/>
              <w:jc w:val="center"/>
            </w:pPr>
            <w:r>
              <w:rPr>
                <w:rFonts w:ascii="Arial" w:cs="Arial" w:eastAsia="Arial" w:hAnsi="Arial"/>
                <w:b/>
                <w:bCs/>
                <w:color w:val="0D2B55"/>
                <w:sz w:val="64"/>
                <w:szCs w:val="64"/>
              </w:rPr>
              <w:t xml:space="preserve">4×</w:t>
            </w:r>
          </w:p>
          <w:p>
            <w:pPr>
              <w:spacing w:after="40"/>
              <w:jc w:val="center"/>
            </w:pPr>
            <w:r>
              <w:rPr>
                <w:rFonts w:ascii="Arial" w:cs="Arial" w:eastAsia="Arial" w:hAnsi="Arial"/>
                <w:b/>
                <w:bCs/>
                <w:color w:val="1A4A8A"/>
                <w:sz w:val="22"/>
                <w:szCs w:val="22"/>
              </w:rPr>
              <w:t xml:space="preserve">Faster integration</w:t>
            </w:r>
          </w:p>
          <w:p>
            <w:pPr>
              <w:spacing w:after="0"/>
              <w:jc w:val="center"/>
            </w:pPr>
            <w:r>
              <w:rPr>
                <w:rFonts w:ascii="Georgia" w:cs="Georgia" w:eastAsia="Georgia" w:hAnsi="Georgia"/>
                <w:color w:val="475569"/>
                <w:sz w:val="18"/>
                <w:szCs w:val="18"/>
              </w:rPr>
              <w:t xml:space="preserve">Teams using shared semantic models vs. ad hoc</w:t>
            </w:r>
          </w:p>
        </w:tc>
      </w:tr>
    </w:tbl>
    <w:p>
      <w:pPr>
        <w:spacing w:after="200"/>
      </w:pPr>
      <w:r>
        <w:rPr>
          <w:rFonts w:ascii="Georgia" w:cs="Georgia" w:eastAsia="Georgia" w:hAnsi="Georgia"/>
          <w:sz w:val="22"/>
          <w:szCs w:val="22"/>
        </w:rPr>
        <w:t xml:space="preserve"/>
      </w:r>
    </w:p>
    <w:p>
      <w:pPr>
        <w:pBdr>
          <w:left w:val="thick" w:color="C5952A" w:sz="24" w:space="14"/>
        </w:pBdr>
        <w:shd w:fill="FBF3E3" w:val="clear"/>
        <w:spacing w:after="200" w:before="200"/>
        <w:ind w:left="480" w:right="480"/>
      </w:pPr>
      <w:r>
        <w:rPr>
          <w:rFonts w:ascii="Georgia" w:cs="Georgia" w:eastAsia="Georgia" w:hAnsi="Georgia"/>
          <w:b/>
          <w:bCs/>
          <w:sz w:val="24"/>
          <w:szCs w:val="24"/>
        </w:rPr>
        <w:t xml:space="preserve">The central challenge: </w:t>
      </w:r>
      <w:r>
        <w:rPr>
          <w:rFonts w:ascii="Georgia" w:cs="Georgia" w:eastAsia="Georgia" w:hAnsi="Georgia"/>
          <w:i/>
          <w:iCs/>
          <w:sz w:val="24"/>
          <w:szCs w:val="24"/>
        </w:rPr>
        <w:t xml:space="preserve">Enterprises have invested decades building data — yet AI systems still cannot reliably understand what that data means. The gap is not computational. It is semantic.</w:t>
      </w:r>
    </w:p>
    <w:p>
      <w:r>
        <w:rPr>
          <w:vanish/>
        </w:rPr>
        <w:br w:type="page"/>
      </w:r>
    </w:p>
    <w:p>
      <w:pPr>
        <w:pStyle w:val="Heading1"/>
        <w:spacing w:after="220" w:before="560"/>
      </w:pPr>
      <w:r>
        <w:rPr>
          <w:rFonts w:ascii="Arial" w:cs="Arial" w:eastAsia="Arial" w:hAnsi="Arial"/>
          <w:b/>
          <w:bCs/>
          <w:color w:val="0D2B55"/>
          <w:sz w:val="44"/>
          <w:szCs w:val="44"/>
        </w:rPr>
        <w:t xml:space="preserve">Executive Summary</w:t>
      </w:r>
    </w:p>
    <w:p>
      <w:pPr>
        <w:spacing w:after="240"/>
        <w:jc w:val="both"/>
      </w:pPr>
      <w:r>
        <w:rPr>
          <w:rFonts w:ascii="Georgia" w:cs="Georgia" w:eastAsia="Georgia" w:hAnsi="Georgia"/>
          <w:i/>
          <w:iCs/>
          <w:color w:val="475569"/>
          <w:sz w:val="26"/>
          <w:szCs w:val="26"/>
        </w:rPr>
        <w:t xml:space="preserve">For the first time in computing history, the quality of data meaning matters as much as the quality of data itself. This document makes the case for why — and what to do about it.</w:t>
      </w:r>
    </w:p>
    <w:p>
      <w:pPr>
        <w:spacing w:after="180"/>
        <w:jc w:val="both"/>
      </w:pPr>
      <w:r>
        <w:rPr>
          <w:rFonts w:ascii="Georgia" w:cs="Georgia" w:eastAsia="Georgia" w:hAnsi="Georgia"/>
          <w:sz w:val="22"/>
          <w:szCs w:val="22"/>
        </w:rPr>
        <w:t xml:space="preserve">Artificial intelligence has arrived at the enterprise. Billions of dollars flow into AI initiatives every year — predictive analytics, large language models, autonomous agents, generative tooling. Yet the majority of these investments underperform or stall entirely, and the cause is consistently the same: the AI cannot reliably understand what the data means.</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This is not a failure of AI capability. It is a failure of data readiness. Enterprise databases store records in tables, fields, and foreign keys — structures optimised for storage and retrieval, not for communicating meaning. When an AI model reads a column called ‘status’, it does not know whether that describes an asset’s health, an order’s lifecycle, or a customer’s account standing. It guesses. In a production system, those guesses accumulate into errors that erode trust in AI output and eventually in the AI programme itself.</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b/>
          <w:bCs/>
          <w:sz w:val="22"/>
          <w:szCs w:val="22"/>
        </w:rPr>
        <w:t xml:space="preserve">Ontology is the solution. </w:t>
      </w:r>
      <w:r>
        <w:rPr>
          <w:rFonts w:ascii="Georgia" w:cs="Georgia" w:eastAsia="Georgia" w:hAnsi="Georgia"/>
          <w:sz w:val="22"/>
          <w:szCs w:val="22"/>
        </w:rPr>
        <w:t xml:space="preserve">An ontology is a formal, machine-readable agreement about what concepts mean and how they relate to one another. It is not a glossary or a data dictionary. It is a living semantic contract — one that AI systems, databases, and human teams can all read and act upon. When that contract exists, AI agents stop guessing and start reasoning. When it does not, no amount of model sophistication can compensate.</w:t>
      </w:r>
    </w:p>
    <w:p>
      <w:pPr>
        <w:spacing w:after="80"/>
      </w:pPr>
      <w:r>
        <w:rPr>
          <w:rFonts w:ascii="Georgia" w:cs="Georgia" w:eastAsia="Georgia" w:hAnsi="Georgia"/>
          <w:sz w:val="22"/>
          <w:szCs w:val="22"/>
        </w:rPr>
        <w:t xml:space="preserve"/>
      </w:r>
    </w:p>
    <w:p>
      <w:pPr>
        <w:pBdr>
          <w:left w:val="thick" w:color="1D7A6B" w:sz="24" w:space="14"/>
        </w:pBdr>
        <w:shd w:fill="E8F6F3" w:val="clear"/>
        <w:spacing w:after="200" w:before="200"/>
        <w:ind w:left="480" w:right="480"/>
      </w:pPr>
      <w:r>
        <w:rPr>
          <w:rFonts w:ascii="Georgia" w:cs="Georgia" w:eastAsia="Georgia" w:hAnsi="Georgia"/>
          <w:b/>
          <w:bCs/>
          <w:sz w:val="23"/>
          <w:szCs w:val="23"/>
        </w:rPr>
        <w:t xml:space="preserve">The Ontology Engineering Toolkit </w:t>
      </w:r>
      <w:r>
        <w:rPr>
          <w:rFonts w:ascii="Georgia" w:cs="Georgia" w:eastAsia="Georgia" w:hAnsi="Georgia"/>
          <w:sz w:val="23"/>
          <w:szCs w:val="23"/>
        </w:rPr>
        <w:t xml:space="preserve">operationalises this contract. It reads your existing relational database schema and, in under two seconds, generates a production-ready OWL 2 ontology, SHACL validation shapes, JSON-LD agent payloads, a controlled vocabulary, and a scored governance report. It supports any major relational database, includes native TM Forum alignment for telecoms, and provides an interactive onboarding wizard that requires no prior ontology expertise.</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The result: enterprise data that AI can understand, trust, and reason over — without replacing existing systems, re-engineering databases, or hiring specialist ontologists.</w:t>
      </w:r>
    </w:p>
    <w:p>
      <w:r>
        <w:rPr>
          <w:vanish/>
        </w:rPr>
        <w:br w:type="page"/>
      </w:r>
    </w:p>
    <w:p>
      <w:pPr>
        <w:pStyle w:val="Heading1"/>
        <w:spacing w:after="220" w:before="560"/>
      </w:pPr>
      <w:r>
        <w:rPr>
          <w:rFonts w:ascii="Arial" w:cs="Arial" w:eastAsia="Arial" w:hAnsi="Arial"/>
          <w:b/>
          <w:bCs/>
          <w:color w:val="0D2B55"/>
          <w:sz w:val="44"/>
          <w:szCs w:val="44"/>
        </w:rPr>
        <w:t xml:space="preserve">1.  The AI Readiness Problem</w:t>
      </w:r>
    </w:p>
    <w:p>
      <w:pPr>
        <w:pStyle w:val="Heading2"/>
        <w:spacing w:after="180" w:before="400"/>
      </w:pPr>
      <w:r>
        <w:rPr>
          <w:rFonts w:ascii="Arial" w:cs="Arial" w:eastAsia="Arial" w:hAnsi="Arial"/>
          <w:b/>
          <w:bCs/>
          <w:color w:val="1A4A8A"/>
          <w:sz w:val="30"/>
          <w:szCs w:val="30"/>
        </w:rPr>
        <w:t xml:space="preserve">Why AI underperforms on enterprise data</w:t>
      </w:r>
    </w:p>
    <w:p>
      <w:pPr>
        <w:spacing w:after="180"/>
        <w:jc w:val="both"/>
      </w:pPr>
      <w:r>
        <w:rPr>
          <w:rFonts w:ascii="Georgia" w:cs="Georgia" w:eastAsia="Georgia" w:hAnsi="Georgia"/>
          <w:sz w:val="22"/>
          <w:szCs w:val="22"/>
        </w:rPr>
        <w:t xml:space="preserve">Every enterprise AI initiative rests on the same foundation: data. Enterprises have more data than ever — decades of transactions, operations, customer interactions, sensor readings, and event logs. Yet when AI systems are pointed at this data, they frequently produce outputs that are unreliable, inconsistent, or simply wrong. The data is not the problem. The meaning is.</w:t>
      </w:r>
    </w:p>
    <w:p>
      <w:pPr>
        <w:spacing w:after="80"/>
      </w:pPr>
      <w:r>
        <w:rPr>
          <w:rFonts w:ascii="Georgia" w:cs="Georgia" w:eastAsia="Georgia" w:hAnsi="Georgia"/>
          <w:sz w:val="22"/>
          <w:szCs w:val="22"/>
        </w:rPr>
        <w:t xml:space="preserve"/>
      </w:r>
    </w:p>
    <w:p>
      <w:pPr>
        <w:pStyle w:val="Heading3"/>
        <w:spacing w:after="120" w:before="280"/>
      </w:pPr>
      <w:r>
        <w:rPr>
          <w:rFonts w:ascii="Arial" w:cs="Arial" w:eastAsia="Arial" w:hAnsi="Arial"/>
          <w:b/>
          <w:bCs/>
          <w:color w:val="2E6DB4"/>
          <w:sz w:val="24"/>
          <w:szCs w:val="24"/>
        </w:rPr>
        <w:t xml:space="preserve">The semantic gap</w:t>
      </w:r>
    </w:p>
    <w:p>
      <w:pPr>
        <w:spacing w:after="180"/>
        <w:jc w:val="both"/>
      </w:pPr>
      <w:r>
        <w:rPr>
          <w:rFonts w:ascii="Georgia" w:cs="Georgia" w:eastAsia="Georgia" w:hAnsi="Georgia"/>
          <w:sz w:val="22"/>
          <w:szCs w:val="22"/>
        </w:rPr>
        <w:t xml:space="preserve">Relational databases were designed for human operators who already understand the domain. A table called ‘cust_acct’ is understood by a DBA who built it. An AI model encountering it for the first time has no such context. It sees a collection of fields — id, status, type, ref_no — with no formal specification of what any of them mean, how they relate to one another, or what values are valid in what circumstances.</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This is the semantic gap. And it is not a minor inconvenience. It is the root cause of:</w:t>
      </w:r>
    </w:p>
    <w:p>
      <w:pPr>
        <w:pStyle w:val="ListParagraph"/>
        <w:numPr>
          <w:ilvl w:val="0"/>
          <w:numId w:val="2"/>
        </w:numPr>
        <w:spacing w:after="120"/>
      </w:pPr>
      <w:r>
        <w:rPr>
          <w:rFonts w:ascii="Georgia" w:cs="Georgia" w:eastAsia="Georgia" w:hAnsi="Georgia"/>
          <w:b/>
          <w:bCs/>
          <w:sz w:val="22"/>
          <w:szCs w:val="22"/>
        </w:rPr>
        <w:t xml:space="preserve">AI hallucination in enterprise contexts. </w:t>
      </w:r>
      <w:r>
        <w:rPr>
          <w:rFonts w:ascii="Georgia" w:cs="Georgia" w:eastAsia="Georgia" w:hAnsi="Georgia"/>
          <w:sz w:val="22"/>
          <w:szCs w:val="22"/>
        </w:rPr>
        <w:t xml:space="preserve">When a model does not know what a field means, it infers — and inference at scale produces systematic errors that look plausible but are factually wrong.</w:t>
      </w:r>
    </w:p>
    <w:p>
      <w:pPr>
        <w:pStyle w:val="ListParagraph"/>
        <w:numPr>
          <w:ilvl w:val="0"/>
          <w:numId w:val="2"/>
        </w:numPr>
        <w:spacing w:after="120"/>
      </w:pPr>
      <w:r>
        <w:rPr>
          <w:rFonts w:ascii="Georgia" w:cs="Georgia" w:eastAsia="Georgia" w:hAnsi="Georgia"/>
          <w:b/>
          <w:bCs/>
          <w:sz w:val="22"/>
          <w:szCs w:val="22"/>
        </w:rPr>
        <w:t xml:space="preserve">Multi-system disagreement. </w:t>
      </w:r>
      <w:r>
        <w:rPr>
          <w:rFonts w:ascii="Georgia" w:cs="Georgia" w:eastAsia="Georgia" w:hAnsi="Georgia"/>
          <w:sz w:val="22"/>
          <w:szCs w:val="22"/>
        </w:rPr>
        <w:t xml:space="preserve">When two systems have different implicit definitions of ‘customer’, any AI that aggregates across them will produce incoherent results. Neither system is wrong — they simply never agreed on meaning.</w:t>
      </w:r>
    </w:p>
    <w:p>
      <w:pPr>
        <w:pStyle w:val="ListParagraph"/>
        <w:numPr>
          <w:ilvl w:val="0"/>
          <w:numId w:val="2"/>
        </w:numPr>
        <w:spacing w:after="120"/>
      </w:pPr>
      <w:r>
        <w:rPr>
          <w:rFonts w:ascii="Georgia" w:cs="Georgia" w:eastAsia="Georgia" w:hAnsi="Georgia"/>
          <w:b/>
          <w:bCs/>
          <w:sz w:val="22"/>
          <w:szCs w:val="22"/>
        </w:rPr>
        <w:t xml:space="preserve">Unexplainable decisions. </w:t>
      </w:r>
      <w:r>
        <w:rPr>
          <w:rFonts w:ascii="Georgia" w:cs="Georgia" w:eastAsia="Georgia" w:hAnsi="Georgia"/>
          <w:sz w:val="22"/>
          <w:szCs w:val="22"/>
        </w:rPr>
        <w:t xml:space="preserve">Regulators and auditors increasingly require that AI-driven decisions be explainable. Without formal semantics, there is no mechanism to trace a conclusion back to a defined concept and a documented chain of reasoning.</w:t>
      </w:r>
    </w:p>
    <w:p>
      <w:pPr>
        <w:pStyle w:val="ListParagraph"/>
        <w:numPr>
          <w:ilvl w:val="0"/>
          <w:numId w:val="2"/>
        </w:numPr>
        <w:spacing w:after="120"/>
      </w:pPr>
      <w:r>
        <w:rPr>
          <w:rFonts w:ascii="Georgia" w:cs="Georgia" w:eastAsia="Georgia" w:hAnsi="Georgia"/>
          <w:b/>
          <w:bCs/>
          <w:sz w:val="22"/>
          <w:szCs w:val="22"/>
        </w:rPr>
        <w:t xml:space="preserve">Agent coordination failure. </w:t>
      </w:r>
      <w:r>
        <w:rPr>
          <w:rFonts w:ascii="Georgia" w:cs="Georgia" w:eastAsia="Georgia" w:hAnsi="Georgia"/>
          <w:sz w:val="22"/>
          <w:szCs w:val="22"/>
        </w:rPr>
        <w:t xml:space="preserve">As organisations deploy multiple AI agents that work together, each agent must interpret shared data identically. Without a common semantic contract, agents diverge — producing contradictory outputs that paralyse downstream workflows.</w:t>
      </w:r>
    </w:p>
    <w:p>
      <w:pPr>
        <w:spacing w:after="80"/>
      </w:pPr>
      <w:r>
        <w:rPr>
          <w:rFonts w:ascii="Georgia" w:cs="Georgia" w:eastAsia="Georgia" w:hAnsi="Georgia"/>
          <w:sz w:val="22"/>
          <w:szCs w:val="22"/>
        </w:rPr>
        <w:t xml:space="preserve"/>
      </w:r>
    </w:p>
    <w:p>
      <w:pPr>
        <w:pStyle w:val="Heading3"/>
        <w:spacing w:after="120" w:before="280"/>
      </w:pPr>
      <w:r>
        <w:rPr>
          <w:rFonts w:ascii="Arial" w:cs="Arial" w:eastAsia="Arial" w:hAnsi="Arial"/>
          <w:b/>
          <w:bCs/>
          <w:color w:val="2E6DB4"/>
          <w:sz w:val="24"/>
          <w:szCs w:val="24"/>
        </w:rPr>
        <w:t xml:space="preserve">The cost of the semantic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7F1D1D"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Without semantic alignment</w:t>
            </w:r>
          </w:p>
        </w:tc>
        <w:tc>
          <w:tcPr>
            <w:tcW w:type="dxa" w:w="4860"/>
            <w:tcBorders>
              <w:top w:val="single" w:color="D1D5DB" w:sz="1"/>
              <w:left w:val="single" w:color="D1D5DB" w:sz="1"/>
              <w:bottom w:val="single" w:color="D1D5DB" w:sz="1"/>
              <w:right w:val="single" w:color="D1D5DB" w:sz="1"/>
            </w:tcBorders>
            <w:shd w:fill="134E4A"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With semantic alignment</w:t>
            </w:r>
          </w:p>
        </w:tc>
      </w:tr>
      <w:tr>
        <w:tc>
          <w:tcPr>
            <w:tcW w:type="dxa" w:w="45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7F1D1D"/>
                <w:sz w:val="20"/>
                <w:szCs w:val="20"/>
              </w:rPr>
              <w:t xml:space="preserve">AI agents disagree on what a 'customer' or 'asset' means</w:t>
            </w:r>
          </w:p>
        </w:tc>
        <w:tc>
          <w:tcPr>
            <w:tcW w:type="dxa" w:w="4860"/>
            <w:tcBorders>
              <w:top w:val="single" w:color="D1D5DB" w:sz="1"/>
              <w:left w:val="single" w:color="D1D5DB" w:sz="1"/>
              <w:bottom w:val="single" w:color="D1D5DB" w:sz="1"/>
              <w:right w:val="single" w:color="D1D5DB" w:sz="1"/>
            </w:tcBorders>
            <w:shd w:fill="E8F6F3"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34E4A"/>
                <w:sz w:val="20"/>
                <w:szCs w:val="20"/>
              </w:rPr>
              <w:t xml:space="preserve">Shared semantic contract enforced at the message boundary</w:t>
            </w:r>
          </w:p>
        </w:tc>
      </w:tr>
      <w:tr>
        <w:tc>
          <w:tcPr>
            <w:tcW w:type="dxa" w:w="45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7F1D1D"/>
                <w:sz w:val="20"/>
                <w:szCs w:val="20"/>
              </w:rPr>
              <w:t xml:space="preserve">Data lineage is manual or absent — audits fail</w:t>
            </w:r>
          </w:p>
        </w:tc>
        <w:tc>
          <w:tcPr>
            <w:tcW w:type="dxa" w:w="4860"/>
            <w:tcBorders>
              <w:top w:val="single" w:color="D1D5DB" w:sz="1"/>
              <w:left w:val="single" w:color="D1D5DB" w:sz="1"/>
              <w:bottom w:val="single" w:color="D1D5DB" w:sz="1"/>
              <w:right w:val="single" w:color="D1D5DB" w:sz="1"/>
            </w:tcBorders>
            <w:shd w:fill="E8F6F3"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34E4A"/>
                <w:sz w:val="20"/>
                <w:szCs w:val="20"/>
              </w:rPr>
              <w:t xml:space="preserve">Every assertion is traceable to a source, agent, and timestamp</w:t>
            </w:r>
          </w:p>
        </w:tc>
      </w:tr>
      <w:tr>
        <w:tc>
          <w:tcPr>
            <w:tcW w:type="dxa" w:w="45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7F1D1D"/>
                <w:sz w:val="20"/>
                <w:szCs w:val="20"/>
              </w:rPr>
              <w:t xml:space="preserve">Integrating two systems takes months of mapping work</w:t>
            </w:r>
          </w:p>
        </w:tc>
        <w:tc>
          <w:tcPr>
            <w:tcW w:type="dxa" w:w="4860"/>
            <w:tcBorders>
              <w:top w:val="single" w:color="D1D5DB" w:sz="1"/>
              <w:left w:val="single" w:color="D1D5DB" w:sz="1"/>
              <w:bottom w:val="single" w:color="D1D5DB" w:sz="1"/>
              <w:right w:val="single" w:color="D1D5DB" w:sz="1"/>
            </w:tcBorders>
            <w:shd w:fill="E8F6F3"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34E4A"/>
                <w:sz w:val="20"/>
                <w:szCs w:val="20"/>
              </w:rPr>
              <w:t xml:space="preserve">New integrations reuse existing semantic definitions</w:t>
            </w:r>
          </w:p>
        </w:tc>
      </w:tr>
      <w:tr>
        <w:tc>
          <w:tcPr>
            <w:tcW w:type="dxa" w:w="45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7F1D1D"/>
                <w:sz w:val="20"/>
                <w:szCs w:val="20"/>
              </w:rPr>
              <w:t xml:space="preserve">Ontology versioning silently breaks downstream consumers</w:t>
            </w:r>
          </w:p>
        </w:tc>
        <w:tc>
          <w:tcPr>
            <w:tcW w:type="dxa" w:w="4860"/>
            <w:tcBorders>
              <w:top w:val="single" w:color="D1D5DB" w:sz="1"/>
              <w:left w:val="single" w:color="D1D5DB" w:sz="1"/>
              <w:bottom w:val="single" w:color="D1D5DB" w:sz="1"/>
              <w:right w:val="single" w:color="D1D5DB" w:sz="1"/>
            </w:tcBorders>
            <w:shd w:fill="E8F6F3"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34E4A"/>
                <w:sz w:val="20"/>
                <w:szCs w:val="20"/>
              </w:rPr>
              <w:t xml:space="preserve">Breaking vs. non-breaking changes are formally distinguished</w:t>
            </w:r>
          </w:p>
        </w:tc>
      </w:tr>
      <w:tr>
        <w:tc>
          <w:tcPr>
            <w:tcW w:type="dxa" w:w="45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7F1D1D"/>
                <w:sz w:val="20"/>
                <w:szCs w:val="20"/>
              </w:rPr>
              <w:t xml:space="preserve">AI model outputs cannot be explained or justified</w:t>
            </w:r>
          </w:p>
        </w:tc>
        <w:tc>
          <w:tcPr>
            <w:tcW w:type="dxa" w:w="4860"/>
            <w:tcBorders>
              <w:top w:val="single" w:color="D1D5DB" w:sz="1"/>
              <w:left w:val="single" w:color="D1D5DB" w:sz="1"/>
              <w:bottom w:val="single" w:color="D1D5DB" w:sz="1"/>
              <w:right w:val="single" w:color="D1D5DB" w:sz="1"/>
            </w:tcBorders>
            <w:shd w:fill="E8F6F3"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34E4A"/>
                <w:sz w:val="20"/>
                <w:szCs w:val="20"/>
              </w:rPr>
              <w:t xml:space="preserve">Every conclusion references a defined concept and provenance chain</w:t>
            </w:r>
          </w:p>
        </w:tc>
      </w:tr>
      <w:tr>
        <w:tc>
          <w:tcPr>
            <w:tcW w:type="dxa" w:w="4500"/>
            <w:tcBorders>
              <w:top w:val="single" w:color="D1D5DB" w:sz="1"/>
              <w:left w:val="single" w:color="D1D5DB" w:sz="1"/>
              <w:bottom w:val="single" w:color="D1D5DB" w:sz="1"/>
              <w:right w:val="single" w:color="D1D5DB" w:sz="1"/>
            </w:tcBorders>
            <w:shd w:fill="FEF2F2"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7F1D1D"/>
                <w:sz w:val="20"/>
                <w:szCs w:val="20"/>
              </w:rPr>
              <w:t xml:space="preserve">Compliance reviews require manual reconstruction of data flows</w:t>
            </w:r>
          </w:p>
        </w:tc>
        <w:tc>
          <w:tcPr>
            <w:tcW w:type="dxa" w:w="4860"/>
            <w:tcBorders>
              <w:top w:val="single" w:color="D1D5DB" w:sz="1"/>
              <w:left w:val="single" w:color="D1D5DB" w:sz="1"/>
              <w:bottom w:val="single" w:color="D1D5DB" w:sz="1"/>
              <w:right w:val="single" w:color="D1D5DB" w:sz="1"/>
            </w:tcBorders>
            <w:shd w:fill="E8F6F3"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34E4A"/>
                <w:sz w:val="20"/>
                <w:szCs w:val="20"/>
              </w:rPr>
              <w:t xml:space="preserve">Provenance is built in — compliance answers are automatic</w:t>
            </w:r>
          </w:p>
        </w:tc>
      </w:tr>
    </w:tbl>
    <w:p>
      <w:pPr>
        <w:spacing w:after="200"/>
      </w:pPr>
      <w:r>
        <w:rPr>
          <w:rFonts w:ascii="Georgia" w:cs="Georgia" w:eastAsia="Georgia" w:hAnsi="Georgia"/>
          <w:sz w:val="22"/>
          <w:szCs w:val="22"/>
        </w:rPr>
        <w:t xml:space="preserve"/>
      </w:r>
    </w:p>
    <w:p>
      <w:pPr>
        <w:pStyle w:val="Heading1"/>
        <w:spacing w:after="220" w:before="560"/>
      </w:pPr>
      <w:r>
        <w:rPr>
          <w:rFonts w:ascii="Arial" w:cs="Arial" w:eastAsia="Arial" w:hAnsi="Arial"/>
          <w:b/>
          <w:bCs/>
          <w:color w:val="0D2B55"/>
          <w:sz w:val="44"/>
          <w:szCs w:val="44"/>
        </w:rPr>
        <w:t xml:space="preserve">2.  What Is an Ontology — and Why Now</w:t>
      </w:r>
    </w:p>
    <w:p>
      <w:pPr>
        <w:pStyle w:val="Heading2"/>
        <w:spacing w:after="180" w:before="400"/>
      </w:pPr>
      <w:r>
        <w:rPr>
          <w:rFonts w:ascii="Arial" w:cs="Arial" w:eastAsia="Arial" w:hAnsi="Arial"/>
          <w:b/>
          <w:bCs/>
          <w:color w:val="1A4A8A"/>
          <w:sz w:val="30"/>
          <w:szCs w:val="30"/>
        </w:rPr>
        <w:t xml:space="preserve">A formal contract for meaning</w:t>
      </w:r>
    </w:p>
    <w:p>
      <w:pPr>
        <w:spacing w:after="180"/>
        <w:jc w:val="both"/>
      </w:pPr>
      <w:r>
        <w:rPr>
          <w:rFonts w:ascii="Georgia" w:cs="Georgia" w:eastAsia="Georgia" w:hAnsi="Georgia"/>
          <w:sz w:val="22"/>
          <w:szCs w:val="22"/>
        </w:rPr>
        <w:t xml:space="preserve">An ontology is a machine-readable specification of concepts, their properties, and the relationships between them. It answers the questions that a database schema cannot: what does this entity represent in the real world? what relationships does it have with other entities? what values are valid? who produced this fact and how confident are we?</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Ontologies are not new. They have been used in scientific research, healthcare informatics, and defence intelligence for decades. What is new is the urgency. When data was consumed only by structured queries and human analysts, implicit meaning was sufficient — humans supplied the missing context. When data is consumed by AI models, autonomous agents, and LLMs, there is no human in the loop to supply that context. The machine must find it in the data itself. </w:t>
      </w:r>
      <w:r>
        <w:rPr>
          <w:rFonts w:ascii="Georgia" w:cs="Georgia" w:eastAsia="Georgia" w:hAnsi="Georgia"/>
          <w:b/>
          <w:bCs/>
          <w:sz w:val="22"/>
          <w:szCs w:val="22"/>
        </w:rPr>
        <w:t xml:space="preserve">If the meaning is not there, the machine makes it up.</w:t>
      </w:r>
    </w:p>
    <w:p>
      <w:pPr>
        <w:spacing w:after="80"/>
      </w:pPr>
      <w:r>
        <w:rPr>
          <w:rFonts w:ascii="Georgia" w:cs="Georgia" w:eastAsia="Georgia" w:hAnsi="Georgia"/>
          <w:sz w:val="22"/>
          <w:szCs w:val="22"/>
        </w:rPr>
        <w:t xml:space="preserve"/>
      </w:r>
    </w:p>
    <w:p>
      <w:pPr>
        <w:pStyle w:val="Heading2"/>
        <w:spacing w:after="180" w:before="400"/>
      </w:pPr>
      <w:r>
        <w:rPr>
          <w:rFonts w:ascii="Arial" w:cs="Arial" w:eastAsia="Arial" w:hAnsi="Arial"/>
          <w:b/>
          <w:bCs/>
          <w:color w:val="1A4A8A"/>
          <w:sz w:val="30"/>
          <w:szCs w:val="30"/>
        </w:rPr>
        <w:t xml:space="preserve">Why the moment is now</w:t>
      </w:r>
    </w:p>
    <w:p>
      <w:pPr>
        <w:spacing w:after="180"/>
        <w:jc w:val="both"/>
      </w:pPr>
      <w:r>
        <w:rPr>
          <w:rFonts w:ascii="Georgia" w:cs="Georgia" w:eastAsia="Georgia" w:hAnsi="Georgia"/>
          <w:sz w:val="22"/>
          <w:szCs w:val="22"/>
        </w:rPr>
        <w:t xml:space="preserve">Three converging trends have made ontology the most strategically important investment an enterprise can make in its data programme:</w:t>
      </w:r>
    </w:p>
    <w:p>
      <w:pPr>
        <w:spacing w:after="80"/>
      </w:pPr>
      <w:r>
        <w:rPr>
          <w:rFonts w:ascii="Georgia" w:cs="Georgia" w:eastAsia="Georgia" w:hAnsi="Georgia"/>
          <w:sz w:val="22"/>
          <w:szCs w:val="22"/>
        </w:rPr>
        <w:t xml:space="preserve"/>
      </w:r>
    </w:p>
    <w:p>
      <w:pPr>
        <w:pStyle w:val="Heading3"/>
        <w:spacing w:after="120" w:before="280"/>
      </w:pPr>
      <w:r>
        <w:rPr>
          <w:rFonts w:ascii="Arial" w:cs="Arial" w:eastAsia="Arial" w:hAnsi="Arial"/>
          <w:b/>
          <w:bCs/>
          <w:color w:val="2E6DB4"/>
          <w:sz w:val="24"/>
          <w:szCs w:val="24"/>
        </w:rPr>
        <w:t xml:space="preserve">1. The LLM imperative</w:t>
      </w:r>
    </w:p>
    <w:p>
      <w:pPr>
        <w:spacing w:after="180"/>
        <w:jc w:val="both"/>
      </w:pPr>
      <w:r>
        <w:rPr>
          <w:rFonts w:ascii="Georgia" w:cs="Georgia" w:eastAsia="Georgia" w:hAnsi="Georgia"/>
          <w:sz w:val="22"/>
          <w:szCs w:val="22"/>
        </w:rPr>
        <w:t xml:space="preserve">Large language models have created organisational demand for AI-powered answers from enterprise data. RAG (Retrieval-Augmented Generation) systems, enterprise copilots, and AI agents are being deployed at scale. Every one of them is exposed by the semantic gap. An LLM given context from a semantically annotated ontology produces answers that are more accurate, more consistent, and more explainable than one operating on raw schema data. The ontology is, in effect, the AI’s understanding of your business.</w:t>
      </w:r>
    </w:p>
    <w:p>
      <w:pPr>
        <w:spacing w:after="80"/>
      </w:pPr>
      <w:r>
        <w:rPr>
          <w:rFonts w:ascii="Georgia" w:cs="Georgia" w:eastAsia="Georgia" w:hAnsi="Georgia"/>
          <w:sz w:val="22"/>
          <w:szCs w:val="22"/>
        </w:rPr>
        <w:t xml:space="preserve"/>
      </w:r>
    </w:p>
    <w:p>
      <w:pPr>
        <w:pStyle w:val="Heading3"/>
        <w:spacing w:after="120" w:before="280"/>
      </w:pPr>
      <w:r>
        <w:rPr>
          <w:rFonts w:ascii="Arial" w:cs="Arial" w:eastAsia="Arial" w:hAnsi="Arial"/>
          <w:b/>
          <w:bCs/>
          <w:color w:val="2E6DB4"/>
          <w:sz w:val="24"/>
          <w:szCs w:val="24"/>
        </w:rPr>
        <w:t xml:space="preserve">2. The multi-agent architecture</w:t>
      </w:r>
    </w:p>
    <w:p>
      <w:pPr>
        <w:spacing w:after="180"/>
        <w:jc w:val="both"/>
      </w:pPr>
      <w:r>
        <w:rPr>
          <w:rFonts w:ascii="Georgia" w:cs="Georgia" w:eastAsia="Georgia" w:hAnsi="Georgia"/>
          <w:sz w:val="22"/>
          <w:szCs w:val="22"/>
        </w:rPr>
        <w:t xml:space="preserve">Modern AI systems are not single models. They are networks of specialised agents — one that observes the network, one that detects anomalies, one that raises alarms, one that escalates to a human. These agents exchange data constantly. Without a shared semantic contract, agents disagree on basic terms, contradict one another, and produce coordination failures that are extremely difficult to debug. An ontology is the shared language that makes agent collaboration reliable.</w:t>
      </w:r>
    </w:p>
    <w:p>
      <w:pPr>
        <w:spacing w:after="80"/>
      </w:pPr>
      <w:r>
        <w:rPr>
          <w:rFonts w:ascii="Georgia" w:cs="Georgia" w:eastAsia="Georgia" w:hAnsi="Georgia"/>
          <w:sz w:val="22"/>
          <w:szCs w:val="22"/>
        </w:rPr>
        <w:t xml:space="preserve"/>
      </w:r>
    </w:p>
    <w:p>
      <w:pPr>
        <w:pStyle w:val="Heading3"/>
        <w:spacing w:after="120" w:before="280"/>
      </w:pPr>
      <w:r>
        <w:rPr>
          <w:rFonts w:ascii="Arial" w:cs="Arial" w:eastAsia="Arial" w:hAnsi="Arial"/>
          <w:b/>
          <w:bCs/>
          <w:color w:val="2E6DB4"/>
          <w:sz w:val="24"/>
          <w:szCs w:val="24"/>
        </w:rPr>
        <w:t xml:space="preserve">3. Regulatory and audit pressure</w:t>
      </w:r>
    </w:p>
    <w:p>
      <w:pPr>
        <w:spacing w:after="180"/>
        <w:jc w:val="both"/>
      </w:pPr>
      <w:r>
        <w:rPr>
          <w:rFonts w:ascii="Georgia" w:cs="Georgia" w:eastAsia="Georgia" w:hAnsi="Georgia"/>
          <w:sz w:val="22"/>
          <w:szCs w:val="22"/>
        </w:rPr>
        <w:t xml:space="preserve">Across financial services, healthcare, telecommunications, and energy, regulators are moving toward requirements for explainable AI. The EU AI Act, Basel IV data lineage requirements, HIPAA audit trails, and Ofcom’s network transparency expectations all converge on the same demand: if your AI made a decision, show your work. An ontology with PROV-O provenance is the only mechanism that makes showing work automatic rather than reconstructed after the fact.</w:t>
      </w:r>
    </w:p>
    <w:p>
      <w:pPr>
        <w:spacing w:after="80"/>
      </w:pPr>
      <w:r>
        <w:rPr>
          <w:rFonts w:ascii="Georgia" w:cs="Georgia" w:eastAsia="Georgia" w:hAnsi="Georgia"/>
          <w:sz w:val="22"/>
          <w:szCs w:val="22"/>
        </w:rPr>
        <w:t xml:space="preserve"/>
      </w:r>
    </w:p>
    <w:p>
      <w:pPr>
        <w:pBdr>
          <w:left w:val="thick" w:color="C5952A" w:sz="24" w:space="14"/>
        </w:pBdr>
        <w:shd w:fill="FBF3E3" w:val="clear"/>
        <w:spacing w:after="200" w:before="200"/>
        <w:ind w:left="480" w:right="480"/>
      </w:pPr>
      <w:r>
        <w:rPr>
          <w:rFonts w:ascii="Georgia" w:cs="Georgia" w:eastAsia="Georgia" w:hAnsi="Georgia"/>
          <w:b/>
          <w:bCs/>
          <w:sz w:val="23"/>
          <w:szCs w:val="23"/>
        </w:rPr>
        <w:t xml:space="preserve">The analogy: </w:t>
      </w:r>
      <w:r>
        <w:rPr>
          <w:rFonts w:ascii="Georgia" w:cs="Georgia" w:eastAsia="Georgia" w:hAnsi="Georgia"/>
          <w:i/>
          <w:iCs/>
          <w:sz w:val="23"/>
          <w:szCs w:val="23"/>
        </w:rPr>
        <w:t xml:space="preserve">TCP/IP standardised communication protocols so any two computers could exchange data. Ontology standardises semantic protocols so any two AI systems — or any AI system and any enterprise database — can exchange meaning. Without TCP/IP, the internet does not work. Without ontology, the AI-enabled enterprise does not work.</w:t>
      </w:r>
    </w:p>
    <w:p>
      <w:r>
        <w:rPr>
          <w:vanish/>
        </w:rPr>
        <w:br w:type="page"/>
      </w:r>
    </w:p>
    <w:p>
      <w:pPr>
        <w:pStyle w:val="Heading1"/>
        <w:spacing w:after="220" w:before="560"/>
      </w:pPr>
      <w:r>
        <w:rPr>
          <w:rFonts w:ascii="Arial" w:cs="Arial" w:eastAsia="Arial" w:hAnsi="Arial"/>
          <w:b/>
          <w:bCs/>
          <w:color w:val="0D2B55"/>
          <w:sz w:val="44"/>
          <w:szCs w:val="44"/>
        </w:rPr>
        <w:t xml:space="preserve">3.  The Framework — From Data to AI Intelligence</w:t>
      </w:r>
    </w:p>
    <w:p>
      <w:pPr>
        <w:pStyle w:val="Heading2"/>
        <w:spacing w:after="180" w:before="400"/>
      </w:pPr>
      <w:r>
        <w:rPr>
          <w:rFonts w:ascii="Arial" w:cs="Arial" w:eastAsia="Arial" w:hAnsi="Arial"/>
          <w:b/>
          <w:bCs/>
          <w:color w:val="1A4A8A"/>
          <w:sz w:val="30"/>
          <w:szCs w:val="30"/>
        </w:rPr>
        <w:t xml:space="preserve">Five layers that bridge the gap</w:t>
      </w:r>
    </w:p>
    <w:p>
      <w:pPr>
        <w:spacing w:after="180"/>
        <w:jc w:val="both"/>
      </w:pPr>
      <w:r>
        <w:rPr>
          <w:rFonts w:ascii="Georgia" w:cs="Georgia" w:eastAsia="Georgia" w:hAnsi="Georgia"/>
          <w:sz w:val="22"/>
          <w:szCs w:val="22"/>
        </w:rPr>
        <w:t xml:space="preserve">The Domain-Agnostic Ontology Engineering Framework organises the problem into five layers, each building on the one below. Skipping any layer is what causes the familiar failures — AI that confabulates, produces outputs nobody can audit, or disagrees with itself across systems.</w:t>
      </w:r>
    </w:p>
    <w:p>
      <w:pPr>
        <w:spacing w:after="12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Name</w:t>
            </w:r>
          </w:p>
        </w:tc>
        <w:tc>
          <w:tcPr>
            <w:tcW w:type="dxa" w:w="626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Business purpose</w:t>
            </w:r>
          </w:p>
        </w:tc>
      </w:tr>
      <w:tr>
        <w:tc>
          <w:tcPr>
            <w:tcW w:type="dxa" w:w="900"/>
            <w:tcBorders>
              <w:top w:val="single" w:color="D1D5DB" w:sz="1"/>
              <w:left w:val="single" w:color="D1D5DB" w:sz="1"/>
              <w:bottom w:val="single" w:color="D1D5DB" w:sz="1"/>
              <w:right w:val="single" w:color="D1D5DB" w:sz="1"/>
            </w:tcBorders>
            <w:shd w:fill="D6E4F7" w:val="clear"/>
            <w:tcMar>
              <w:top w:type="dxa" w:w="100"/>
              <w:left w:type="dxa" w:w="160"/>
              <w:bottom w:type="dxa" w:w="100"/>
              <w:right w:type="dxa" w:w="160"/>
            </w:tcMar>
            <w:vAlign w:val="top"/>
          </w:tcPr>
          <w:p>
            <w:pPr>
              <w:spacing w:after="0"/>
              <w:jc w:val="center"/>
            </w:pPr>
            <w:r>
              <w:rPr>
                <w:rFonts w:ascii="Georgia" w:cs="Georgia" w:eastAsia="Georgia" w:hAnsi="Georgia"/>
                <w:b/>
                <w:bCs/>
                <w:color w:val="0D2B55"/>
                <w:sz w:val="20"/>
                <w:szCs w:val="20"/>
              </w:rPr>
              <w:t xml:space="preserve">5</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Exchange &amp; execution</w:t>
            </w:r>
          </w:p>
        </w:tc>
        <w:tc>
          <w:tcPr>
            <w:tcW w:type="dxa" w:w="6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How AI agents and systems consume the semantic model — through typed JSON messages, API contracts, and MCP tool definitions. This is where the ontology becomes operational.</w:t>
            </w:r>
          </w:p>
        </w:tc>
      </w:tr>
      <w:tr>
        <w:tc>
          <w:tcPr>
            <w:tcW w:type="dxa" w:w="900"/>
            <w:tcBorders>
              <w:top w:val="single" w:color="D1D5DB" w:sz="1"/>
              <w:left w:val="single" w:color="D1D5DB" w:sz="1"/>
              <w:bottom w:val="single" w:color="D1D5DB" w:sz="1"/>
              <w:right w:val="single" w:color="D1D5DB" w:sz="1"/>
            </w:tcBorders>
            <w:shd w:fill="C8D9F0" w:val="clear"/>
            <w:tcMar>
              <w:top w:type="dxa" w:w="100"/>
              <w:left w:type="dxa" w:w="160"/>
              <w:bottom w:type="dxa" w:w="100"/>
              <w:right w:type="dxa" w:w="160"/>
            </w:tcMar>
            <w:vAlign w:val="top"/>
          </w:tcPr>
          <w:p>
            <w:pPr>
              <w:spacing w:after="0"/>
              <w:jc w:val="center"/>
            </w:pPr>
            <w:r>
              <w:rPr>
                <w:rFonts w:ascii="Georgia" w:cs="Georgia" w:eastAsia="Georgia" w:hAnsi="Georgia"/>
                <w:b/>
                <w:bCs/>
                <w:color w:val="0D2B55"/>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Validation &amp; quality</w:t>
            </w:r>
          </w:p>
        </w:tc>
        <w:tc>
          <w:tcPr>
            <w:tcW w:type="dxa" w:w="6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Machine-enforceable rules that check every data payload before any AI action is taken. Without this layer, bad data reaches AI systems and produces confident-sounding wrong answers.</w:t>
            </w:r>
          </w:p>
        </w:tc>
      </w:tr>
      <w:tr>
        <w:tc>
          <w:tcPr>
            <w:tcW w:type="dxa" w:w="900"/>
            <w:tcBorders>
              <w:top w:val="single" w:color="D1D5DB" w:sz="1"/>
              <w:left w:val="single" w:color="D1D5DB" w:sz="1"/>
              <w:bottom w:val="single" w:color="D1D5DB" w:sz="1"/>
              <w:right w:val="single" w:color="D1D5DB" w:sz="1"/>
            </w:tcBorders>
            <w:shd w:fill="B0C9E8" w:val="clear"/>
            <w:tcMar>
              <w:top w:type="dxa" w:w="100"/>
              <w:left w:type="dxa" w:w="160"/>
              <w:bottom w:type="dxa" w:w="100"/>
              <w:right w:type="dxa" w:w="160"/>
            </w:tcMar>
            <w:vAlign w:val="top"/>
          </w:tcPr>
          <w:p>
            <w:pPr>
              <w:spacing w:after="0"/>
              <w:jc w:val="center"/>
            </w:pPr>
            <w:r>
              <w:rPr>
                <w:rFonts w:ascii="Georgia" w:cs="Georgia" w:eastAsia="Georgia" w:hAnsi="Georgia"/>
                <w:b/>
                <w:bCs/>
                <w:color w:val="0D2B55"/>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Evidence &amp; trust</w:t>
            </w:r>
          </w:p>
        </w:tc>
        <w:tc>
          <w:tcPr>
            <w:tcW w:type="dxa" w:w="6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Where did this fact come from? Who produced it? When? With what confidence? Every assertion is traced to its origin. This is the layer that makes AI output auditable.</w:t>
            </w:r>
          </w:p>
        </w:tc>
      </w:tr>
      <w:tr>
        <w:tc>
          <w:tcPr>
            <w:tcW w:type="dxa" w:w="900"/>
            <w:tcBorders>
              <w:top w:val="single" w:color="D1D5DB" w:sz="1"/>
              <w:left w:val="single" w:color="D1D5DB" w:sz="1"/>
              <w:bottom w:val="single" w:color="D1D5DB" w:sz="1"/>
              <w:right w:val="single" w:color="D1D5DB" w:sz="1"/>
            </w:tcBorders>
            <w:shd w:fill="8FB5E0" w:val="clear"/>
            <w:tcMar>
              <w:top w:type="dxa" w:w="100"/>
              <w:left w:type="dxa" w:w="160"/>
              <w:bottom w:type="dxa" w:w="100"/>
              <w:right w:type="dxa" w:w="160"/>
            </w:tcMar>
            <w:vAlign w:val="top"/>
          </w:tcPr>
          <w:p>
            <w:pPr>
              <w:spacing w:after="0"/>
              <w:jc w:val="center"/>
            </w:pPr>
            <w:r>
              <w:rPr>
                <w:rFonts w:ascii="Georgia" w:cs="Georgia" w:eastAsia="Georgia" w:hAnsi="Georgia"/>
                <w:b/>
                <w:bCs/>
                <w:color w:val="0D2B55"/>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Meaning</w:t>
            </w:r>
          </w:p>
        </w:tc>
        <w:tc>
          <w:tcPr>
            <w:tcW w:type="dxa" w:w="6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The ontology itself — formal definitions of every entity, relationship, event, and constraint in the domain. This is the semantic contract that AI agents share.</w:t>
            </w:r>
          </w:p>
        </w:tc>
      </w:tr>
      <w:tr>
        <w:tc>
          <w:tcPr>
            <w:tcW w:type="dxa" w:w="900"/>
            <w:tcBorders>
              <w:top w:val="single" w:color="D1D5DB" w:sz="1"/>
              <w:left w:val="single" w:color="D1D5DB" w:sz="1"/>
              <w:bottom w:val="single" w:color="D1D5DB" w:sz="1"/>
              <w:right w:val="single" w:color="D1D5DB" w:sz="1"/>
            </w:tcBorders>
            <w:shd w:fill="6B9FD4" w:val="clear"/>
            <w:tcMar>
              <w:top w:type="dxa" w:w="100"/>
              <w:left w:type="dxa" w:w="160"/>
              <w:bottom w:type="dxa" w:w="100"/>
              <w:right w:type="dxa" w:w="160"/>
            </w:tcMar>
            <w:vAlign w:val="top"/>
          </w:tcPr>
          <w:p>
            <w:pPr>
              <w:spacing w:after="0"/>
              <w:jc w:val="center"/>
            </w:pPr>
            <w:r>
              <w:rPr>
                <w:rFonts w:ascii="Georgia" w:cs="Georgia" w:eastAsia="Georgia" w:hAnsi="Georgia"/>
                <w:b/>
                <w:bCs/>
                <w:color w:val="0D2B55"/>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Reality</w:t>
            </w:r>
          </w:p>
        </w:tc>
        <w:tc>
          <w:tcPr>
            <w:tcW w:type="dxa" w:w="6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Your actual business domain — the assets, customers, events, decisions, and transactions that the organisation cares about. The foundation everything else is built on.</w:t>
            </w:r>
          </w:p>
        </w:tc>
      </w:tr>
    </w:tbl>
    <w:p>
      <w:pPr>
        <w:spacing w:after="200"/>
      </w:pPr>
      <w:r>
        <w:rPr>
          <w:rFonts w:ascii="Georgia" w:cs="Georgia" w:eastAsia="Georgia" w:hAnsi="Georgia"/>
          <w:sz w:val="22"/>
          <w:szCs w:val="22"/>
        </w:rPr>
        <w:t xml:space="preserve"/>
      </w:r>
    </w:p>
    <w:p>
      <w:pPr>
        <w:pStyle w:val="Heading2"/>
        <w:spacing w:after="180" w:before="400"/>
      </w:pPr>
      <w:r>
        <w:rPr>
          <w:rFonts w:ascii="Arial" w:cs="Arial" w:eastAsia="Arial" w:hAnsi="Arial"/>
          <w:b/>
          <w:bCs/>
          <w:color w:val="1A4A8A"/>
          <w:sz w:val="30"/>
          <w:szCs w:val="30"/>
        </w:rPr>
        <w:t xml:space="preserve">Five phases, five deliverables, no ambiguity</w:t>
      </w:r>
    </w:p>
    <w:p>
      <w:pPr>
        <w:spacing w:after="180"/>
        <w:jc w:val="both"/>
      </w:pPr>
      <w:r>
        <w:rPr>
          <w:rFonts w:ascii="Georgia" w:cs="Georgia" w:eastAsia="Georgia" w:hAnsi="Georgia"/>
          <w:sz w:val="22"/>
          <w:szCs w:val="22"/>
        </w:rPr>
        <w:t xml:space="preserve">The framework is delivered in five phases. Each phase ends with a concrete, reviewable artifact — not a slide deck, not a workshop output, but a file under version control that a domain expert can review and sign off.</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4200"/>
        <w:gridCol w:w="2360"/>
      </w:tblGrid>
      <w:tr>
        <w:tc>
          <w:tcPr>
            <w:tcW w:type="dxa" w:w="10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Name</w:t>
            </w:r>
          </w:p>
        </w:tc>
        <w:tc>
          <w:tcPr>
            <w:tcW w:type="dxa" w:w="42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What happens</w:t>
            </w:r>
          </w:p>
        </w:tc>
        <w:tc>
          <w:tcPr>
            <w:tcW w:type="dxa" w:w="236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Output</w:t>
            </w:r>
          </w:p>
        </w:tc>
      </w:tr>
      <w:tr>
        <w:tc>
          <w:tcPr>
            <w:tcW w:type="dxa" w:w="10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Foundation</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Define scope and write the questions the system must answer</w:t>
            </w:r>
          </w:p>
        </w:tc>
        <w:tc>
          <w:tcPr>
            <w:tcW w:type="dxa" w:w="23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Scope charter + CQ catalog</w:t>
            </w:r>
          </w:p>
        </w:tc>
      </w:tr>
      <w:tr>
        <w:tc>
          <w:tcPr>
            <w:tcW w:type="dxa" w:w="1000"/>
            <w:tcBorders>
              <w:top w:val="single" w:color="D1D5DB" w:sz="1"/>
              <w:left w:val="single" w:color="D1D5DB" w:sz="1"/>
              <w:bottom w:val="single" w:color="D1D5DB" w:sz="1"/>
              <w:right w:val="single" w:color="D1D5DB" w:sz="1"/>
            </w:tcBorders>
            <w:shd w:fill="E4EDF7"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2</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Modeling</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Formally define every entity, relationship, and event</w:t>
            </w:r>
          </w:p>
        </w:tc>
        <w:tc>
          <w:tcPr>
            <w:tcW w:type="dxa" w:w="23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OWL 2 ontology</w:t>
            </w:r>
          </w:p>
        </w:tc>
      </w:tr>
      <w:tr>
        <w:tc>
          <w:tcPr>
            <w:tcW w:type="dxa" w:w="1000"/>
            <w:tcBorders>
              <w:top w:val="single" w:color="D1D5DB" w:sz="1"/>
              <w:left w:val="single" w:color="D1D5DB" w:sz="1"/>
              <w:bottom w:val="single" w:color="D1D5DB" w:sz="1"/>
              <w:right w:val="single" w:color="D1D5DB" w:sz="1"/>
            </w:tcBorders>
            <w:shd w:fill="DAE7F4"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Validation</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Author rules that catch bad data before AI sees it</w:t>
            </w:r>
          </w:p>
        </w:tc>
        <w:tc>
          <w:tcPr>
            <w:tcW w:type="dxa" w:w="23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SHACL validation set</w:t>
            </w:r>
          </w:p>
        </w:tc>
      </w:tr>
      <w:tr>
        <w:tc>
          <w:tcPr>
            <w:tcW w:type="dxa" w:w="1000"/>
            <w:tcBorders>
              <w:top w:val="single" w:color="D1D5DB" w:sz="1"/>
              <w:left w:val="single" w:color="D1D5DB" w:sz="1"/>
              <w:bottom w:val="single" w:color="D1D5DB" w:sz="1"/>
              <w:right w:val="single" w:color="D1D5DB" w:sz="1"/>
            </w:tcBorders>
            <w:shd w:fill="D0E1F1"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4</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Mapping &amp; critique</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Trace every concept to physical tables; find what is lost</w:t>
            </w:r>
          </w:p>
        </w:tc>
        <w:tc>
          <w:tcPr>
            <w:tcW w:type="dxa" w:w="23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Mapping workbook</w:t>
            </w:r>
          </w:p>
        </w:tc>
      </w:tr>
      <w:tr>
        <w:tc>
          <w:tcPr>
            <w:tcW w:type="dxa" w:w="1000"/>
            <w:tcBorders>
              <w:top w:val="single" w:color="D1D5DB" w:sz="1"/>
              <w:left w:val="single" w:color="D1D5DB" w:sz="1"/>
              <w:bottom w:val="single" w:color="D1D5DB" w:sz="1"/>
              <w:right w:val="single" w:color="D1D5DB" w:sz="1"/>
            </w:tcBorders>
            <w:shd w:fill="C6DBEE"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Agent enablement</w:t>
            </w:r>
          </w:p>
        </w:tc>
        <w:tc>
          <w:tcPr>
            <w:tcW w:type="dxa" w:w="4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Package the ontology as an AI-readable contract</w:t>
            </w:r>
          </w:p>
        </w:tc>
        <w:tc>
          <w:tcPr>
            <w:tcW w:type="dxa" w:w="236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JSON-LD + MCP tools</w:t>
            </w:r>
          </w:p>
        </w:tc>
      </w:tr>
    </w:tbl>
    <w:p>
      <w:pPr>
        <w:spacing w:after="200"/>
      </w:pPr>
      <w:r>
        <w:rPr>
          <w:rFonts w:ascii="Georgia" w:cs="Georgia" w:eastAsia="Georgia" w:hAnsi="Georgia"/>
          <w:sz w:val="22"/>
          <w:szCs w:val="22"/>
        </w:rPr>
        <w:t xml:space="preserve"/>
      </w:r>
    </w:p>
    <w:p>
      <w:pPr>
        <w:pBdr>
          <w:left w:val="thick" w:color="1A4A8A" w:sz="24" w:space="14"/>
        </w:pBdr>
        <w:shd w:fill="E8EEF7" w:val="clear"/>
        <w:spacing w:after="200" w:before="200"/>
        <w:ind w:left="480" w:right="480"/>
      </w:pPr>
      <w:r>
        <w:rPr>
          <w:rFonts w:ascii="Georgia" w:cs="Georgia" w:eastAsia="Georgia" w:hAnsi="Georgia"/>
          <w:b/>
          <w:bCs/>
          <w:sz w:val="22"/>
          <w:szCs w:val="22"/>
        </w:rPr>
        <w:t xml:space="preserve">A note on timing: </w:t>
      </w:r>
      <w:r>
        <w:rPr>
          <w:rFonts w:ascii="Georgia" w:cs="Georgia" w:eastAsia="Georgia" w:hAnsi="Georgia"/>
          <w:sz w:val="22"/>
          <w:szCs w:val="22"/>
        </w:rPr>
        <w:t xml:space="preserve">The toolkit automates Phases 2 through 5 completely. Phase 1 requires a half-day workshop with a domain expert and a data architect. Total investment for a first pilot domain: 4–6 weeks. The semantic contract produced lasts years and scales to every subsequent AI initiative on that domain.</w:t>
      </w:r>
    </w:p>
    <w:p>
      <w:r>
        <w:rPr>
          <w:vanish/>
        </w:rPr>
        <w:br w:type="page"/>
      </w:r>
    </w:p>
    <w:p>
      <w:pPr>
        <w:pStyle w:val="Heading1"/>
        <w:spacing w:after="220" w:before="560"/>
      </w:pPr>
      <w:r>
        <w:rPr>
          <w:rFonts w:ascii="Arial" w:cs="Arial" w:eastAsia="Arial" w:hAnsi="Arial"/>
          <w:b/>
          <w:bCs/>
          <w:color w:val="0D2B55"/>
          <w:sz w:val="44"/>
          <w:szCs w:val="44"/>
        </w:rPr>
        <w:t xml:space="preserve">4.  The Ontology Engineering Toolkit</w:t>
      </w:r>
    </w:p>
    <w:p>
      <w:pPr>
        <w:pStyle w:val="Heading2"/>
        <w:spacing w:after="180" w:before="400"/>
      </w:pPr>
      <w:r>
        <w:rPr>
          <w:rFonts w:ascii="Arial" w:cs="Arial" w:eastAsia="Arial" w:hAnsi="Arial"/>
          <w:b/>
          <w:bCs/>
          <w:color w:val="1A4A8A"/>
          <w:sz w:val="30"/>
          <w:szCs w:val="30"/>
        </w:rPr>
        <w:t xml:space="preserve">What it is</w:t>
      </w:r>
    </w:p>
    <w:p>
      <w:pPr>
        <w:spacing w:after="180"/>
        <w:jc w:val="both"/>
      </w:pPr>
      <w:r>
        <w:rPr>
          <w:rFonts w:ascii="Georgia" w:cs="Georgia" w:eastAsia="Georgia" w:hAnsi="Georgia"/>
          <w:sz w:val="22"/>
          <w:szCs w:val="22"/>
        </w:rPr>
        <w:t xml:space="preserve">The Ontology Engineering Toolkit is an open-source, zero-dependency software implementation of the framework. It takes a relational database schema as input and produces every semantic artifact an enterprise needs to make that data AI-ready — in under two seconds, for any domain, any industry, any of the six major relational databases.</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It is not a replacement for existing databases or data platforms. It is a semantic layer built on top of them — one that any AI system, LLM, or agent can consume without the enterprise needing to migrate or re-engineer a single table.</w:t>
      </w:r>
    </w:p>
    <w:p>
      <w:pPr>
        <w:spacing w:after="80"/>
      </w:pPr>
      <w:r>
        <w:rPr>
          <w:rFonts w:ascii="Georgia" w:cs="Georgia" w:eastAsia="Georgia" w:hAnsi="Georgia"/>
          <w:sz w:val="22"/>
          <w:szCs w:val="22"/>
        </w:rPr>
        <w:t xml:space="preserve"/>
      </w:r>
    </w:p>
    <w:p>
      <w:pPr>
        <w:pStyle w:val="Heading2"/>
        <w:spacing w:after="180" w:before="400"/>
      </w:pPr>
      <w:r>
        <w:rPr>
          <w:rFonts w:ascii="Arial" w:cs="Arial" w:eastAsia="Arial" w:hAnsi="Arial"/>
          <w:b/>
          <w:bCs/>
          <w:color w:val="1A4A8A"/>
          <w:sz w:val="30"/>
          <w:szCs w:val="30"/>
        </w:rPr>
        <w:t xml:space="preserve">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Capability</w:t>
            </w:r>
          </w:p>
        </w:tc>
        <w:tc>
          <w:tcPr>
            <w:tcW w:type="dxa" w:w="656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What it means in practice</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Interactive onboarding wizard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Any team member can define a new domain ontology in under 15 minutes through a guided interview — no ontology expertise required. Five industry starter templates (Telecom, Healthcare, Finance, Manufacturing, Retail) further reduce setup time.</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Automated OWL 2 ontology generation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Every database table becomes a formally defined OWL class. Every column becomes a typed property. Event tables generate a formal subclass hierarchy. The result is a machine-verifiable semantic model, not a documentation artifact.</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SHACL validation — the AI acceptance gate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37 validation shapes covering 360 constraints enforce data quality before any AI system receives data. Every inbound agent payload is validated for provenance, confidence score, and derivation method. Bad data is rejected before it can mislead.</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PROV-O provenance — built-in explainability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Every assertion carries who produced it, when, how, and with what confidence. This is not metadata added later. It is a first-class architectural requirement enforced by the validation layer. AI outputs are explainable by construction.</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JSON-LD exchange — AI-ready data contracts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A 184-term JSON-LD context maps JSON field names to ontology IRIs. Any AI agent that loads this context interprets field names identically to every other agent — eliminating semantic drift in multi-agent architectures.</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MCP tool definitions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Six Model Context Protocol tool definitions with semantic context bindings give AI agents tools that understand the domain ontology. Agents can record observations, create events, and validate payloads against the formal model.</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TM Forum SID alignment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Native support for the TM Forum Information Framework (SID) v23.0 — the industry standard semantic model for telecommunications. Covers all 8 SID domains, 18 Open APIs, 9 5G network function types, and the ITU-T X.733 alarm model.</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Six relational database backends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Works with SQLite, PostgreSQL, MySQL, SQL Server, Oracle, and Oracle Autonomous Database (ADB), and IBM DB2. No migration required. The toolkit reads your existing schema and annotates it semantically without modifying any tables.</w:t>
            </w:r>
          </w:p>
        </w:tc>
      </w:tr>
      <w:tr>
        <w:tc>
          <w:tcPr>
            <w:tcW w:type="dxa" w:w="28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Automated governance scoring</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14 of 31 governance criteria are auto-scored against a 0–5 maturity scale. The companion governance checklist covers all 31. Every run produces a visual HTML report with test results, semantic loss findings, and maturity scores.</w:t>
            </w:r>
          </w:p>
        </w:tc>
      </w:tr>
    </w:tbl>
    <w:p>
      <w:pPr>
        <w:spacing w:after="200"/>
      </w:pPr>
      <w:r>
        <w:rPr>
          <w:rFonts w:ascii="Georgia" w:cs="Georgia" w:eastAsia="Georgia" w:hAnsi="Georgia"/>
          <w:sz w:val="22"/>
          <w:szCs w:val="22"/>
        </w:rPr>
        <w:t xml:space="preserve"/>
      </w:r>
    </w:p>
    <w:p>
      <w:r>
        <w:rPr>
          <w:vanish/>
        </w:rPr>
        <w:br w:type="page"/>
      </w:r>
    </w:p>
    <w:p>
      <w:pPr>
        <w:pStyle w:val="Heading1"/>
        <w:spacing w:after="220" w:before="560"/>
      </w:pPr>
      <w:r>
        <w:rPr>
          <w:rFonts w:ascii="Arial" w:cs="Arial" w:eastAsia="Arial" w:hAnsi="Arial"/>
          <w:b/>
          <w:bCs/>
          <w:color w:val="0D2B55"/>
          <w:sz w:val="44"/>
          <w:szCs w:val="44"/>
        </w:rPr>
        <w:t xml:space="preserve">5.  Bridging Enterprise Data and AI</w:t>
      </w:r>
    </w:p>
    <w:p>
      <w:pPr>
        <w:pStyle w:val="Heading2"/>
        <w:spacing w:after="180" w:before="400"/>
      </w:pPr>
      <w:r>
        <w:rPr>
          <w:rFonts w:ascii="Arial" w:cs="Arial" w:eastAsia="Arial" w:hAnsi="Arial"/>
          <w:b/>
          <w:bCs/>
          <w:color w:val="1A4A8A"/>
          <w:sz w:val="30"/>
          <w:szCs w:val="30"/>
        </w:rPr>
        <w:t xml:space="preserve">The three problems ontology solves for AI</w:t>
      </w:r>
    </w:p>
    <w:p>
      <w:pPr>
        <w:pStyle w:val="Heading3"/>
        <w:spacing w:after="120" w:before="280"/>
      </w:pPr>
      <w:r>
        <w:rPr>
          <w:rFonts w:ascii="Arial" w:cs="Arial" w:eastAsia="Arial" w:hAnsi="Arial"/>
          <w:b/>
          <w:bCs/>
          <w:color w:val="2E6DB4"/>
          <w:sz w:val="24"/>
          <w:szCs w:val="24"/>
        </w:rPr>
        <w:t xml:space="preserve">Problem 1 — LLMs need context, not just content</w:t>
      </w:r>
    </w:p>
    <w:p>
      <w:pPr>
        <w:spacing w:after="180"/>
        <w:jc w:val="both"/>
      </w:pPr>
      <w:r>
        <w:rPr>
          <w:rFonts w:ascii="Georgia" w:cs="Georgia" w:eastAsia="Georgia" w:hAnsi="Georgia"/>
          <w:sz w:val="22"/>
          <w:szCs w:val="22"/>
        </w:rPr>
        <w:t xml:space="preserve">A large language model asked to answer a question about network availability will search for relevant text. If that text is semantically annotated — if it knows that ‘AMF East 01’ is a specific type of NetworkFunction, that it has an operational state of Enabled, and that it is composed of a specific set of network slices — the model can answer with precision. Without that annotation, it guesses from field names and produces plausible but unreliable responses.</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The ontology does not replace the LLM. It gives the LLM the domain understanding it cannot derive from raw schema data. It is the difference between asking a consultant to answer from a heap of spreadsheets versus asking them to answer from a structured briefing that explains what every number means.</w:t>
      </w:r>
    </w:p>
    <w:p>
      <w:pPr>
        <w:spacing w:after="80"/>
      </w:pPr>
      <w:r>
        <w:rPr>
          <w:rFonts w:ascii="Georgia" w:cs="Georgia" w:eastAsia="Georgia" w:hAnsi="Georgia"/>
          <w:sz w:val="22"/>
          <w:szCs w:val="22"/>
        </w:rPr>
        <w:t xml:space="preserve"/>
      </w:r>
    </w:p>
    <w:p>
      <w:pPr>
        <w:pStyle w:val="Heading3"/>
        <w:spacing w:after="120" w:before="280"/>
      </w:pPr>
      <w:r>
        <w:rPr>
          <w:rFonts w:ascii="Arial" w:cs="Arial" w:eastAsia="Arial" w:hAnsi="Arial"/>
          <w:b/>
          <w:bCs/>
          <w:color w:val="2E6DB4"/>
          <w:sz w:val="24"/>
          <w:szCs w:val="24"/>
        </w:rPr>
        <w:t xml:space="preserve">Problem 2 — Agents need a shared contract, not shared code</w:t>
      </w:r>
    </w:p>
    <w:p>
      <w:pPr>
        <w:spacing w:after="180"/>
        <w:jc w:val="both"/>
      </w:pPr>
      <w:r>
        <w:rPr>
          <w:rFonts w:ascii="Georgia" w:cs="Georgia" w:eastAsia="Georgia" w:hAnsi="Georgia"/>
          <w:sz w:val="22"/>
          <w:szCs w:val="22"/>
        </w:rPr>
        <w:t xml:space="preserve">Multi-agent AI architectures require that every agent interpret shared data identically. Today, this is typically achieved through bespoke integration code — point-to-point mappings that are expensive to build, expensive to maintain, and brittle when either system changes. An ontology replaces that code with a declaration. Every agent that loads the JSON-LD context and validates against the SHACL shapes will interpret the data correctly — regardless of which team built the agent, which language it was written in, or which vendor supplied it.</w:t>
      </w:r>
    </w:p>
    <w:p>
      <w:pPr>
        <w:spacing w:after="80"/>
      </w:pPr>
      <w:r>
        <w:rPr>
          <w:rFonts w:ascii="Georgia" w:cs="Georgia" w:eastAsia="Georgia" w:hAnsi="Georgia"/>
          <w:sz w:val="22"/>
          <w:szCs w:val="22"/>
        </w:rPr>
        <w:t xml:space="preserve"/>
      </w:r>
    </w:p>
    <w:p>
      <w:pPr>
        <w:pStyle w:val="Heading3"/>
        <w:spacing w:after="120" w:before="280"/>
      </w:pPr>
      <w:r>
        <w:rPr>
          <w:rFonts w:ascii="Arial" w:cs="Arial" w:eastAsia="Arial" w:hAnsi="Arial"/>
          <w:b/>
          <w:bCs/>
          <w:color w:val="2E6DB4"/>
          <w:sz w:val="24"/>
          <w:szCs w:val="24"/>
        </w:rPr>
        <w:t xml:space="preserve">Problem 3 — AI decisions need to be auditable, not reconstructed</w:t>
      </w:r>
    </w:p>
    <w:p>
      <w:pPr>
        <w:spacing w:after="180"/>
        <w:jc w:val="both"/>
      </w:pPr>
      <w:r>
        <w:rPr>
          <w:rFonts w:ascii="Georgia" w:cs="Georgia" w:eastAsia="Georgia" w:hAnsi="Georgia"/>
          <w:sz w:val="22"/>
          <w:szCs w:val="22"/>
        </w:rPr>
        <w:t xml:space="preserve">The question ‘how did the AI arrive at this conclusion’ is increasingly asked by regulators, by customers, and by risk teams. Today, answering it typically requires manual reconstruction from logs — a process that is slow, unreliable, and does not scale. PROV-O provenance, built into the ontology from the start, makes this automatic. Every AI output carries its derivation chain: which agent produced it, from what source, at what time, with what confidence. The answer to the auditor’s question is always one query away.</w:t>
      </w:r>
    </w:p>
    <w:p>
      <w:pPr>
        <w:spacing w:after="80"/>
      </w:pPr>
      <w:r>
        <w:rPr>
          <w:rFonts w:ascii="Georgia" w:cs="Georgia" w:eastAsia="Georgia" w:hAnsi="Georgia"/>
          <w:sz w:val="22"/>
          <w:szCs w:val="22"/>
        </w:rPr>
        <w:t xml:space="preserve"/>
      </w:r>
    </w:p>
    <w:p>
      <w:pPr>
        <w:pBdr>
          <w:left w:val="thick" w:color="C5952A" w:sz="24" w:space="14"/>
        </w:pBdr>
        <w:shd w:fill="FBF3E3" w:val="clear"/>
        <w:spacing w:after="200" w:before="200"/>
        <w:ind w:left="480" w:right="480"/>
      </w:pPr>
      <w:r>
        <w:rPr>
          <w:rFonts w:ascii="Georgia" w:cs="Georgia" w:eastAsia="Georgia" w:hAnsi="Georgia"/>
          <w:b/>
          <w:bCs/>
          <w:sz w:val="22"/>
          <w:szCs w:val="22"/>
        </w:rPr>
        <w:t xml:space="preserve">The strategic insight: </w:t>
      </w:r>
      <w:r>
        <w:rPr>
          <w:rFonts w:ascii="Georgia" w:cs="Georgia" w:eastAsia="Georgia" w:hAnsi="Georgia"/>
          <w:sz w:val="23"/>
          <w:szCs w:val="23"/>
        </w:rPr>
        <w:t xml:space="preserve">Ontology does not make AI smarter. It makes AI reliable. The gap between a useful AI system and an embarrassing one is not model capability — it is data readiness. Ontology is data readiness formalised, automated, and enforced.</w:t>
      </w:r>
    </w:p>
    <w:p>
      <w:pPr>
        <w:spacing w:after="80"/>
      </w:pPr>
      <w:r>
        <w:rPr>
          <w:rFonts w:ascii="Georgia" w:cs="Georgia" w:eastAsia="Georgia" w:hAnsi="Georgia"/>
          <w:sz w:val="22"/>
          <w:szCs w:val="22"/>
        </w:rPr>
        <w:t xml:space="preserve"/>
      </w:r>
    </w:p>
    <w:p>
      <w:pPr>
        <w:pStyle w:val="Heading2"/>
        <w:spacing w:after="180" w:before="400"/>
      </w:pPr>
      <w:r>
        <w:rPr>
          <w:rFonts w:ascii="Arial" w:cs="Arial" w:eastAsia="Arial" w:hAnsi="Arial"/>
          <w:b/>
          <w:bCs/>
          <w:color w:val="1A4A8A"/>
          <w:sz w:val="30"/>
          <w:szCs w:val="30"/>
        </w:rPr>
        <w:t xml:space="preserve">The semantic stack in practice</w:t>
      </w:r>
    </w:p>
    <w:p>
      <w:pPr>
        <w:spacing w:after="180"/>
        <w:jc w:val="both"/>
      </w:pPr>
      <w:r>
        <w:rPr>
          <w:rFonts w:ascii="Georgia" w:cs="Georgia" w:eastAsia="Georgia" w:hAnsi="Georgia"/>
          <w:sz w:val="22"/>
          <w:szCs w:val="22"/>
        </w:rPr>
        <w:t xml:space="preserve">The toolkit implements a practical agent-facing semantic stack that any team can deploy:</w:t>
      </w:r>
    </w:p>
    <w:p>
      <w:pPr>
        <w:spacing w:after="8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Layer</w:t>
            </w:r>
          </w:p>
        </w:tc>
        <w:tc>
          <w:tcPr>
            <w:tcW w:type="dxa" w:w="308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Technology</w:t>
            </w:r>
          </w:p>
        </w:tc>
        <w:tc>
          <w:tcPr>
            <w:tcW w:type="dxa" w:w="408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What it provides to AI</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Semantic contract</w:t>
            </w:r>
          </w:p>
        </w:tc>
        <w:tc>
          <w:tcPr>
            <w:tcW w:type="dxa" w:w="308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A4A8A"/>
                <w:sz w:val="20"/>
                <w:szCs w:val="20"/>
              </w:rPr>
              <w:t xml:space="preserve">OWL 2 ontology</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Formal definitions of every domain concept the AI will encounter</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Acceptance gate</w:t>
            </w:r>
          </w:p>
        </w:tc>
        <w:tc>
          <w:tcPr>
            <w:tcW w:type="dxa" w:w="308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A4A8A"/>
                <w:sz w:val="20"/>
                <w:szCs w:val="20"/>
              </w:rPr>
              <w:t xml:space="preserve">SHACL shapes</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Rejection of malformed or incomplete data before AI processing</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Trust layer</w:t>
            </w:r>
          </w:p>
        </w:tc>
        <w:tc>
          <w:tcPr>
            <w:tcW w:type="dxa" w:w="308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A4A8A"/>
                <w:sz w:val="20"/>
                <w:szCs w:val="20"/>
              </w:rPr>
              <w:t xml:space="preserve">PROV-O provenance</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Source, derivation, timestamp, and confidence on every assertion</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Exchange format</w:t>
            </w:r>
          </w:p>
        </w:tc>
        <w:tc>
          <w:tcPr>
            <w:tcW w:type="dxa" w:w="308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A4A8A"/>
                <w:sz w:val="20"/>
                <w:szCs w:val="20"/>
              </w:rPr>
              <w:t xml:space="preserve">JSON-LD context</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Unambiguous field-to-concept mapping for all agent messages</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Tool interface</w:t>
            </w:r>
          </w:p>
        </w:tc>
        <w:tc>
          <w:tcPr>
            <w:tcW w:type="dxa" w:w="308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A4A8A"/>
                <w:sz w:val="20"/>
                <w:szCs w:val="20"/>
              </w:rPr>
              <w:t xml:space="preserve">MCP definitions</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Semantically-bound AI tools that understand the domain model</w:t>
            </w:r>
          </w:p>
        </w:tc>
      </w:tr>
      <w:tr>
        <w:tc>
          <w:tcPr>
            <w:tcW w:type="dxa" w:w="22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Governance evidence</w:t>
            </w:r>
          </w:p>
        </w:tc>
        <w:tc>
          <w:tcPr>
            <w:tcW w:type="dxa" w:w="308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1A4A8A"/>
                <w:sz w:val="20"/>
                <w:szCs w:val="20"/>
              </w:rPr>
              <w:t xml:space="preserve">Scorecard + report</w:t>
            </w:r>
          </w:p>
        </w:tc>
        <w:tc>
          <w:tcPr>
            <w:tcW w:type="dxa" w:w="408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Auditable evidence that the system meets defined quality standards</w:t>
            </w:r>
          </w:p>
        </w:tc>
      </w:tr>
    </w:tbl>
    <w:p>
      <w:r>
        <w:rPr>
          <w:vanish/>
        </w:rPr>
        <w:br w:type="page"/>
      </w:r>
    </w:p>
    <w:p>
      <w:pPr>
        <w:pStyle w:val="Heading1"/>
        <w:spacing w:after="220" w:before="560"/>
      </w:pPr>
      <w:r>
        <w:rPr>
          <w:rFonts w:ascii="Arial" w:cs="Arial" w:eastAsia="Arial" w:hAnsi="Arial"/>
          <w:b/>
          <w:bCs/>
          <w:color w:val="0D2B55"/>
          <w:sz w:val="44"/>
          <w:szCs w:val="44"/>
        </w:rPr>
        <w:t xml:space="preserve">6.  Business Value</w:t>
      </w:r>
    </w:p>
    <w:p>
      <w:pPr>
        <w:pStyle w:val="Heading2"/>
        <w:spacing w:after="180" w:before="400"/>
      </w:pPr>
      <w:r>
        <w:rPr>
          <w:rFonts w:ascii="Arial" w:cs="Arial" w:eastAsia="Arial" w:hAnsi="Arial"/>
          <w:b/>
          <w:bCs/>
          <w:color w:val="1A4A8A"/>
          <w:sz w:val="30"/>
          <w:szCs w:val="30"/>
        </w:rPr>
        <w:t xml:space="preserve">Measurable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FBF3E3" w:val="clear"/>
            <w:tcMar>
              <w:top w:type="dxa" w:w="240"/>
              <w:left w:type="dxa" w:w="240"/>
              <w:bottom w:type="dxa" w:w="240"/>
              <w:right w:type="dxa" w:w="240"/>
            </w:tcMar>
          </w:tcPr>
          <w:p>
            <w:pPr>
              <w:spacing w:after="60"/>
              <w:jc w:val="center"/>
            </w:pPr>
            <w:r>
              <w:rPr>
                <w:rFonts w:ascii="Arial" w:cs="Arial" w:eastAsia="Arial" w:hAnsi="Arial"/>
                <w:b/>
                <w:bCs/>
                <w:color w:val="0D2B55"/>
                <w:sz w:val="64"/>
                <w:szCs w:val="64"/>
              </w:rPr>
              <w:t xml:space="preserve">4×</w:t>
            </w:r>
          </w:p>
          <w:p>
            <w:pPr>
              <w:spacing w:after="40"/>
              <w:jc w:val="center"/>
            </w:pPr>
            <w:r>
              <w:rPr>
                <w:rFonts w:ascii="Arial" w:cs="Arial" w:eastAsia="Arial" w:hAnsi="Arial"/>
                <w:b/>
                <w:bCs/>
                <w:color w:val="1A4A8A"/>
                <w:sz w:val="22"/>
                <w:szCs w:val="22"/>
              </w:rPr>
              <w:t xml:space="preserve">Integration speed</w:t>
            </w:r>
          </w:p>
          <w:p>
            <w:pPr>
              <w:spacing w:after="0"/>
              <w:jc w:val="center"/>
            </w:pPr>
            <w:r>
              <w:rPr>
                <w:rFonts w:ascii="Georgia" w:cs="Georgia" w:eastAsia="Georgia" w:hAnsi="Georgia"/>
                <w:color w:val="475569"/>
                <w:sz w:val="18"/>
                <w:szCs w:val="18"/>
              </w:rPr>
              <w:t xml:space="preserve">Reusing semantic definitions vs. building bespoke mappings</w:t>
            </w:r>
          </w:p>
        </w:tc>
        <w:tc>
          <w:tcPr>
            <w:tcW w:type="dxa" w:w="3120"/>
            <w:tcBorders>
              <w:top w:val="none"/>
              <w:left w:val="none"/>
              <w:bottom w:val="none"/>
              <w:right w:val="none"/>
            </w:tcBorders>
            <w:shd w:fill="E8EEF7" w:val="clear"/>
            <w:tcMar>
              <w:top w:type="dxa" w:w="240"/>
              <w:left w:type="dxa" w:w="240"/>
              <w:bottom w:type="dxa" w:w="240"/>
              <w:right w:type="dxa" w:w="240"/>
            </w:tcMar>
          </w:tcPr>
          <w:p>
            <w:pPr>
              <w:spacing w:after="60"/>
              <w:jc w:val="center"/>
            </w:pPr>
            <w:r>
              <w:rPr>
                <w:rFonts w:ascii="Arial" w:cs="Arial" w:eastAsia="Arial" w:hAnsi="Arial"/>
                <w:b/>
                <w:bCs/>
                <w:color w:val="0D2B55"/>
                <w:sz w:val="64"/>
                <w:szCs w:val="64"/>
              </w:rPr>
              <w:t xml:space="preserve">100%</w:t>
            </w:r>
          </w:p>
          <w:p>
            <w:pPr>
              <w:spacing w:after="40"/>
              <w:jc w:val="center"/>
            </w:pPr>
            <w:r>
              <w:rPr>
                <w:rFonts w:ascii="Arial" w:cs="Arial" w:eastAsia="Arial" w:hAnsi="Arial"/>
                <w:b/>
                <w:bCs/>
                <w:color w:val="1A4A8A"/>
                <w:sz w:val="22"/>
                <w:szCs w:val="22"/>
              </w:rPr>
              <w:t xml:space="preserve">Audit traceability</w:t>
            </w:r>
          </w:p>
          <w:p>
            <w:pPr>
              <w:spacing w:after="0"/>
              <w:jc w:val="center"/>
            </w:pPr>
            <w:r>
              <w:rPr>
                <w:rFonts w:ascii="Georgia" w:cs="Georgia" w:eastAsia="Georgia" w:hAnsi="Georgia"/>
                <w:color w:val="475569"/>
                <w:sz w:val="18"/>
                <w:szCs w:val="18"/>
              </w:rPr>
              <w:t xml:space="preserve">Every AI output traceable to source and provenance</w:t>
            </w:r>
          </w:p>
        </w:tc>
        <w:tc>
          <w:tcPr>
            <w:tcW w:type="dxa" w:w="3120"/>
            <w:tcBorders>
              <w:top w:val="none"/>
              <w:left w:val="none"/>
              <w:bottom w:val="none"/>
              <w:right w:val="none"/>
            </w:tcBorders>
            <w:shd w:fill="E8F6F3" w:val="clear"/>
            <w:tcMar>
              <w:top w:type="dxa" w:w="240"/>
              <w:left w:type="dxa" w:w="240"/>
              <w:bottom w:type="dxa" w:w="240"/>
              <w:right w:type="dxa" w:w="240"/>
            </w:tcMar>
          </w:tcPr>
          <w:p>
            <w:pPr>
              <w:spacing w:after="60"/>
              <w:jc w:val="center"/>
            </w:pPr>
            <w:r>
              <w:rPr>
                <w:rFonts w:ascii="Arial" w:cs="Arial" w:eastAsia="Arial" w:hAnsi="Arial"/>
                <w:b/>
                <w:bCs/>
                <w:color w:val="0D2B55"/>
                <w:sz w:val="64"/>
                <w:szCs w:val="64"/>
              </w:rPr>
              <w:t xml:space="preserve">&lt;2s</w:t>
            </w:r>
          </w:p>
          <w:p>
            <w:pPr>
              <w:spacing w:after="40"/>
              <w:jc w:val="center"/>
            </w:pPr>
            <w:r>
              <w:rPr>
                <w:rFonts w:ascii="Arial" w:cs="Arial" w:eastAsia="Arial" w:hAnsi="Arial"/>
                <w:b/>
                <w:bCs/>
                <w:color w:val="1A4A8A"/>
                <w:sz w:val="22"/>
                <w:szCs w:val="22"/>
              </w:rPr>
              <w:t xml:space="preserve">Time to ontology</w:t>
            </w:r>
          </w:p>
          <w:p>
            <w:pPr>
              <w:spacing w:after="0"/>
              <w:jc w:val="center"/>
            </w:pPr>
            <w:r>
              <w:rPr>
                <w:rFonts w:ascii="Georgia" w:cs="Georgia" w:eastAsia="Georgia" w:hAnsi="Georgia"/>
                <w:color w:val="475569"/>
                <w:sz w:val="18"/>
                <w:szCs w:val="18"/>
              </w:rPr>
              <w:t xml:space="preserve">Full pipeline from schema to AI-ready artifacts</w:t>
            </w:r>
          </w:p>
        </w:tc>
      </w:tr>
    </w:tbl>
    <w:p>
      <w:pPr>
        <w:spacing w:after="20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Business outcome</w:t>
            </w:r>
          </w:p>
        </w:tc>
        <w:tc>
          <w:tcPr>
            <w:tcW w:type="dxa" w:w="20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Metric</w:t>
            </w:r>
          </w:p>
        </w:tc>
        <w:tc>
          <w:tcPr>
            <w:tcW w:type="dxa" w:w="436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How the toolkit delivers it</w:t>
            </w:r>
          </w:p>
        </w:tc>
      </w:tr>
      <w:tr>
        <w:tc>
          <w:tcPr>
            <w:tcW w:type="dxa" w:w="30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Faster AI deployment</w:t>
            </w:r>
          </w:p>
        </w:tc>
        <w:tc>
          <w:tcPr>
            <w:tcW w:type="dxa" w:w="21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Weeks not months</w:t>
            </w:r>
          </w:p>
        </w:tc>
        <w:tc>
          <w:tcPr>
            <w:tcW w:type="dxa" w:w="4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Automated ontology generation turns a 6-month manual process into a 4–6 week structured pilot</w:t>
            </w:r>
          </w:p>
        </w:tc>
      </w:tr>
      <w:tr>
        <w:tc>
          <w:tcPr>
            <w:tcW w:type="dxa" w:w="30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Lower integration cost</w:t>
            </w:r>
          </w:p>
        </w:tc>
        <w:tc>
          <w:tcPr>
            <w:tcW w:type="dxa" w:w="21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4× reuse rate</w:t>
            </w:r>
          </w:p>
        </w:tc>
        <w:tc>
          <w:tcPr>
            <w:tcW w:type="dxa" w:w="4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Semantic definitions built once are reused by every subsequent AI initiative on that domain</w:t>
            </w:r>
          </w:p>
        </w:tc>
      </w:tr>
      <w:tr>
        <w:tc>
          <w:tcPr>
            <w:tcW w:type="dxa" w:w="30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Regulatory compliance</w:t>
            </w:r>
          </w:p>
        </w:tc>
        <w:tc>
          <w:tcPr>
            <w:tcW w:type="dxa" w:w="21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Audit-ready by default</w:t>
            </w:r>
          </w:p>
        </w:tc>
        <w:tc>
          <w:tcPr>
            <w:tcW w:type="dxa" w:w="4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PROV-O provenance is architectural, not retrofitted — every assertion traces to its origin</w:t>
            </w:r>
          </w:p>
        </w:tc>
      </w:tr>
      <w:tr>
        <w:tc>
          <w:tcPr>
            <w:tcW w:type="dxa" w:w="30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Reduced AI error rate</w:t>
            </w:r>
          </w:p>
        </w:tc>
        <w:tc>
          <w:tcPr>
            <w:tcW w:type="dxa" w:w="21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Eliminating hallucination</w:t>
            </w:r>
          </w:p>
        </w:tc>
        <w:tc>
          <w:tcPr>
            <w:tcW w:type="dxa" w:w="4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SHACL validation gates reject malformed data before AI sees it; ontology gives AI correct context</w:t>
            </w:r>
          </w:p>
        </w:tc>
      </w:tr>
      <w:tr>
        <w:tc>
          <w:tcPr>
            <w:tcW w:type="dxa" w:w="30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Agent interoperability</w:t>
            </w:r>
          </w:p>
        </w:tc>
        <w:tc>
          <w:tcPr>
            <w:tcW w:type="dxa" w:w="21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Zero bespoke mapping</w:t>
            </w:r>
          </w:p>
        </w:tc>
        <w:tc>
          <w:tcPr>
            <w:tcW w:type="dxa" w:w="4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JSON-LD context and MCP tool definitions give any agent a shared semantic contract with no custom code</w:t>
            </w:r>
          </w:p>
        </w:tc>
      </w:tr>
      <w:tr>
        <w:tc>
          <w:tcPr>
            <w:tcW w:type="dxa" w:w="30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Governance evidence</w:t>
            </w:r>
          </w:p>
        </w:tc>
        <w:tc>
          <w:tcPr>
            <w:tcW w:type="dxa" w:w="21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31 scored criteria</w:t>
            </w:r>
          </w:p>
        </w:tc>
        <w:tc>
          <w:tcPr>
            <w:tcW w:type="dxa" w:w="4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Automated governance scorecard provides auditable maturity evidence for every ontology deployment</w:t>
            </w:r>
          </w:p>
        </w:tc>
      </w:tr>
      <w:tr>
        <w:tc>
          <w:tcPr>
            <w:tcW w:type="dxa" w:w="30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Enterprise knowledge capture</w:t>
            </w:r>
          </w:p>
        </w:tc>
        <w:tc>
          <w:tcPr>
            <w:tcW w:type="dxa" w:w="2100"/>
            <w:tcBorders>
              <w:top w:val="single" w:color="D1D5DB" w:sz="1"/>
              <w:left w:val="single" w:color="D1D5DB" w:sz="1"/>
              <w:bottom w:val="single" w:color="D1D5DB" w:sz="1"/>
              <w:right w:val="single" w:color="D1D5DB" w:sz="1"/>
            </w:tcBorders>
            <w:shd w:fill="EEF3FA" w:val="clear"/>
            <w:tcMar>
              <w:top w:type="dxa" w:w="100"/>
              <w:left w:type="dxa" w:w="160"/>
              <w:bottom w:type="dxa" w:w="100"/>
              <w:right w:type="dxa" w:w="160"/>
            </w:tcMar>
            <w:vAlign w:val="top"/>
          </w:tcPr>
          <w:p>
            <w:pPr>
              <w:spacing w:after="0"/>
              <w:jc w:val="center"/>
            </w:pPr>
            <w:r>
              <w:rPr>
                <w:rFonts w:ascii="Georgia" w:cs="Georgia" w:eastAsia="Georgia" w:hAnsi="Georgia"/>
                <w:b/>
                <w:bCs/>
                <w:color w:val="1A4A8A"/>
                <w:sz w:val="20"/>
                <w:szCs w:val="20"/>
              </w:rPr>
              <w:t xml:space="preserve">Long-term asset</w:t>
            </w:r>
          </w:p>
        </w:tc>
        <w:tc>
          <w:tcPr>
            <w:tcW w:type="dxa" w:w="42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The ontology encodes domain knowledge that survives personnel changes, system migrations, and vendor transitions</w:t>
            </w:r>
          </w:p>
        </w:tc>
      </w:tr>
    </w:tbl>
    <w:p>
      <w:pPr>
        <w:spacing w:after="200"/>
      </w:pPr>
      <w:r>
        <w:rPr>
          <w:rFonts w:ascii="Georgia" w:cs="Georgia" w:eastAsia="Georgia" w:hAnsi="Georgia"/>
          <w:sz w:val="22"/>
          <w:szCs w:val="22"/>
        </w:rPr>
        <w:t xml:space="preserve"/>
      </w:r>
    </w:p>
    <w:p>
      <w:pPr>
        <w:pStyle w:val="Heading2"/>
        <w:spacing w:after="180" w:before="400"/>
      </w:pPr>
      <w:r>
        <w:rPr>
          <w:rFonts w:ascii="Arial" w:cs="Arial" w:eastAsia="Arial" w:hAnsi="Arial"/>
          <w:b/>
          <w:bCs/>
          <w:color w:val="1A4A8A"/>
          <w:sz w:val="30"/>
          <w:szCs w:val="30"/>
        </w:rPr>
        <w:t xml:space="preserve">Return on investment</w:t>
      </w:r>
    </w:p>
    <w:p>
      <w:pPr>
        <w:spacing w:after="180"/>
        <w:jc w:val="both"/>
      </w:pPr>
      <w:r>
        <w:rPr>
          <w:rFonts w:ascii="Georgia" w:cs="Georgia" w:eastAsia="Georgia" w:hAnsi="Georgia"/>
          <w:sz w:val="22"/>
          <w:szCs w:val="22"/>
        </w:rPr>
        <w:t xml:space="preserve">The economic case for ontology investment has three components:</w:t>
      </w:r>
    </w:p>
    <w:p>
      <w:pPr>
        <w:spacing w:after="80"/>
      </w:pPr>
      <w:r>
        <w:rPr>
          <w:rFonts w:ascii="Georgia" w:cs="Georgia" w:eastAsia="Georgia" w:hAnsi="Georgia"/>
          <w:sz w:val="22"/>
          <w:szCs w:val="22"/>
        </w:rPr>
        <w:t xml:space="preserve"/>
      </w:r>
    </w:p>
    <w:p>
      <w:pPr>
        <w:pStyle w:val="ListParagraph"/>
        <w:numPr>
          <w:ilvl w:val="0"/>
          <w:numId w:val="2"/>
        </w:numPr>
        <w:spacing w:after="120"/>
      </w:pPr>
      <w:r>
        <w:rPr>
          <w:rFonts w:ascii="Georgia" w:cs="Georgia" w:eastAsia="Georgia" w:hAnsi="Georgia"/>
          <w:b/>
          <w:bCs/>
          <w:sz w:val="22"/>
          <w:szCs w:val="22"/>
        </w:rPr>
        <w:t xml:space="preserve">Avoided rework. </w:t>
      </w:r>
      <w:r>
        <w:rPr>
          <w:rFonts w:ascii="Georgia" w:cs="Georgia" w:eastAsia="Georgia" w:hAnsi="Georgia"/>
          <w:sz w:val="22"/>
          <w:szCs w:val="22"/>
        </w:rPr>
        <w:t xml:space="preserve">The cost of discovering a semantic misalignment after an AI system goes live — in debugging, retraining, remediation, and lost trust — is orders of magnitude higher than the cost of the ontology that would have prevented it. Studies consistently show that data quality issues cost enterprises 15–25% of revenue. A fraction of that investment in upfront semantic modelling recovers multiples in avoided rework.</w:t>
      </w:r>
    </w:p>
    <w:p>
      <w:pPr>
        <w:spacing w:after="80"/>
      </w:pPr>
      <w:r>
        <w:rPr>
          <w:rFonts w:ascii="Georgia" w:cs="Georgia" w:eastAsia="Georgia" w:hAnsi="Georgia"/>
          <w:sz w:val="22"/>
          <w:szCs w:val="22"/>
        </w:rPr>
        <w:t xml:space="preserve"/>
      </w:r>
    </w:p>
    <w:p>
      <w:pPr>
        <w:pStyle w:val="ListParagraph"/>
        <w:numPr>
          <w:ilvl w:val="0"/>
          <w:numId w:val="2"/>
        </w:numPr>
        <w:spacing w:after="120"/>
      </w:pPr>
      <w:r>
        <w:rPr>
          <w:rFonts w:ascii="Georgia" w:cs="Georgia" w:eastAsia="Georgia" w:hAnsi="Georgia"/>
          <w:b/>
          <w:bCs/>
          <w:sz w:val="22"/>
          <w:szCs w:val="22"/>
        </w:rPr>
        <w:t xml:space="preserve">Compounding reuse. </w:t>
      </w:r>
      <w:r>
        <w:rPr>
          <w:rFonts w:ascii="Georgia" w:cs="Georgia" w:eastAsia="Georgia" w:hAnsi="Georgia"/>
          <w:sz w:val="22"/>
          <w:szCs w:val="22"/>
        </w:rPr>
        <w:t xml:space="preserve">An ontology is not consumed when used. Every AI initiative that leverages an existing domain ontology avoids the full cost of semantic modelling from scratch. Organisations that invest early in a high-quality ontology for their core domains create a semantic asset that appreciates with every subsequent use.</w:t>
      </w:r>
    </w:p>
    <w:p>
      <w:pPr>
        <w:spacing w:after="80"/>
      </w:pPr>
      <w:r>
        <w:rPr>
          <w:rFonts w:ascii="Georgia" w:cs="Georgia" w:eastAsia="Georgia" w:hAnsi="Georgia"/>
          <w:sz w:val="22"/>
          <w:szCs w:val="22"/>
        </w:rPr>
        <w:t xml:space="preserve"/>
      </w:r>
    </w:p>
    <w:p>
      <w:pPr>
        <w:pStyle w:val="ListParagraph"/>
        <w:numPr>
          <w:ilvl w:val="0"/>
          <w:numId w:val="2"/>
        </w:numPr>
        <w:spacing w:after="120"/>
      </w:pPr>
      <w:r>
        <w:rPr>
          <w:rFonts w:ascii="Georgia" w:cs="Georgia" w:eastAsia="Georgia" w:hAnsi="Georgia"/>
          <w:b/>
          <w:bCs/>
          <w:sz w:val="22"/>
          <w:szCs w:val="22"/>
        </w:rPr>
        <w:t xml:space="preserve">Regulatory risk avoidance. </w:t>
      </w:r>
      <w:r>
        <w:rPr>
          <w:rFonts w:ascii="Georgia" w:cs="Georgia" w:eastAsia="Georgia" w:hAnsi="Georgia"/>
          <w:sz w:val="22"/>
          <w:szCs w:val="22"/>
        </w:rPr>
        <w:t xml:space="preserve">Regulatory penalties for non-compliant AI systems are escalating across all major markets. An organisation that cannot explain its AI decisions or trace data provenance faces fines, operational restrictions, and reputational damage that dwarf any ontology investment. Provenance by construction is insurance.</w:t>
      </w:r>
    </w:p>
    <w:p>
      <w:pPr>
        <w:spacing w:after="80"/>
      </w:pPr>
      <w:r>
        <w:rPr>
          <w:rFonts w:ascii="Georgia" w:cs="Georgia" w:eastAsia="Georgia" w:hAnsi="Georgia"/>
          <w:sz w:val="22"/>
          <w:szCs w:val="22"/>
        </w:rPr>
        <w:t xml:space="preserve"/>
      </w:r>
    </w:p>
    <w:p>
      <w:r>
        <w:rPr>
          <w:vanish/>
        </w:rPr>
        <w:br w:type="page"/>
      </w:r>
    </w:p>
    <w:p>
      <w:pPr>
        <w:pStyle w:val="Heading1"/>
        <w:spacing w:after="220" w:before="560"/>
      </w:pPr>
      <w:r>
        <w:rPr>
          <w:rFonts w:ascii="Arial" w:cs="Arial" w:eastAsia="Arial" w:hAnsi="Arial"/>
          <w:b/>
          <w:bCs/>
          <w:color w:val="0D2B55"/>
          <w:sz w:val="44"/>
          <w:szCs w:val="44"/>
        </w:rPr>
        <w:t xml:space="preserve">7.  Getting Started</w:t>
      </w:r>
    </w:p>
    <w:p>
      <w:pPr>
        <w:pStyle w:val="Heading2"/>
        <w:spacing w:after="180" w:before="400"/>
      </w:pPr>
      <w:r>
        <w:rPr>
          <w:rFonts w:ascii="Arial" w:cs="Arial" w:eastAsia="Arial" w:hAnsi="Arial"/>
          <w:b/>
          <w:bCs/>
          <w:color w:val="1A4A8A"/>
          <w:sz w:val="30"/>
          <w:szCs w:val="30"/>
        </w:rPr>
        <w:t xml:space="preserve">The three-step path to your first pilot</w:t>
      </w:r>
    </w:p>
    <w:p>
      <w:pPr>
        <w:spacing w:after="180"/>
        <w:jc w:val="both"/>
      </w:pPr>
      <w:r>
        <w:rPr>
          <w:rFonts w:ascii="Georgia" w:cs="Georgia" w:eastAsia="Georgia" w:hAnsi="Georgia"/>
          <w:sz w:val="22"/>
          <w:szCs w:val="22"/>
        </w:rPr>
        <w:t xml:space="preserve">The most important principle is that you do not need to solve the whole enterprise semantic problem before extracting value. Start with one domain where AI is already underperforming or where the semantic gap is most visible. Build the ontology for that domain, run it through the toolkit, and demonstrate the difference in AI output quality and auditability. Then expand.</w:t>
      </w:r>
    </w:p>
    <w:p>
      <w:pPr>
        <w:spacing w:after="120"/>
      </w:pPr>
      <w:r>
        <w:rPr>
          <w:rFonts w:ascii="Georgia" w:cs="Georgia" w:eastAsia="Georgia" w:hAnsi="Georg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Step</w:t>
            </w:r>
          </w:p>
        </w:tc>
        <w:tc>
          <w:tcPr>
            <w:tcW w:type="dxa" w:w="26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Action</w:t>
            </w:r>
          </w:p>
        </w:tc>
        <w:tc>
          <w:tcPr>
            <w:tcW w:type="dxa" w:w="586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How</w:t>
            </w:r>
          </w:p>
        </w:tc>
      </w:tr>
      <w:tr>
        <w:tc>
          <w:tcPr>
            <w:tcW w:type="dxa" w:w="900"/>
            <w:tcBorders>
              <w:top w:val="single" w:color="D1D5DB" w:sz="1"/>
              <w:left w:val="single" w:color="D1D5DB" w:sz="1"/>
              <w:bottom w:val="single" w:color="D1D5DB" w:sz="1"/>
              <w:right w:val="single" w:color="D1D5DB" w:sz="1"/>
            </w:tcBorders>
            <w:shd w:fill="FBF3E3" w:val="clear"/>
            <w:tcMar>
              <w:top w:type="dxa" w:w="100"/>
              <w:left w:type="dxa" w:w="160"/>
              <w:bottom w:type="dxa" w:w="100"/>
              <w:right w:type="dxa" w:w="160"/>
            </w:tcMar>
            <w:vAlign w:val="top"/>
          </w:tcPr>
          <w:p>
            <w:pPr>
              <w:spacing w:after="0"/>
              <w:jc w:val="center"/>
            </w:pPr>
            <w:r>
              <w:rPr>
                <w:rFonts w:ascii="Georgia" w:cs="Georgia" w:eastAsia="Georgia" w:hAnsi="Georgia"/>
                <w:b/>
                <w:bCs/>
                <w:color w:val="C5952A"/>
                <w:sz w:val="20"/>
                <w:szCs w:val="20"/>
              </w:rPr>
              <w:t xml:space="preserve">1</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Select the pilot domain</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Choose one domain where AI is already producing uncertain or inconsistent results. Network operations, customer identity, asset management, or clinical records are common starting points. The domain should have at least one production database and a willing subject-matter expert.</w:t>
            </w:r>
          </w:p>
        </w:tc>
      </w:tr>
      <w:tr>
        <w:tc>
          <w:tcPr>
            <w:tcW w:type="dxa" w:w="900"/>
            <w:tcBorders>
              <w:top w:val="single" w:color="D1D5DB" w:sz="1"/>
              <w:left w:val="single" w:color="D1D5DB" w:sz="1"/>
              <w:bottom w:val="single" w:color="D1D5DB" w:sz="1"/>
              <w:right w:val="single" w:color="D1D5DB" w:sz="1"/>
            </w:tcBorders>
            <w:shd w:fill="FBF3E3" w:val="clear"/>
            <w:tcMar>
              <w:top w:type="dxa" w:w="100"/>
              <w:left w:type="dxa" w:w="160"/>
              <w:bottom w:type="dxa" w:w="100"/>
              <w:right w:type="dxa" w:w="160"/>
            </w:tcMar>
            <w:vAlign w:val="top"/>
          </w:tcPr>
          <w:p>
            <w:pPr>
              <w:spacing w:after="0"/>
              <w:jc w:val="center"/>
            </w:pPr>
            <w:r>
              <w:rPr>
                <w:rFonts w:ascii="Georgia" w:cs="Georgia" w:eastAsia="Georgia" w:hAnsi="Georgia"/>
                <w:b/>
                <w:bCs/>
                <w:color w:val="C5952A"/>
                <w:sz w:val="20"/>
                <w:szCs w:val="20"/>
              </w:rPr>
              <w:t xml:space="preserve">2</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Run the onboarding wizard</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python3 onboard.py --industry telecom (or healthcare, finance, manufacturing, retail). A guided interview produces the scope charter, competency question catalog, schema, and full ontology pipeline output in under 15 minutes for a first-time user.</w:t>
            </w:r>
          </w:p>
        </w:tc>
      </w:tr>
      <w:tr>
        <w:tc>
          <w:tcPr>
            <w:tcW w:type="dxa" w:w="900"/>
            <w:tcBorders>
              <w:top w:val="single" w:color="D1D5DB" w:sz="1"/>
              <w:left w:val="single" w:color="D1D5DB" w:sz="1"/>
              <w:bottom w:val="single" w:color="D1D5DB" w:sz="1"/>
              <w:right w:val="single" w:color="D1D5DB" w:sz="1"/>
            </w:tcBorders>
            <w:shd w:fill="FBF3E3" w:val="clear"/>
            <w:tcMar>
              <w:top w:type="dxa" w:w="100"/>
              <w:left w:type="dxa" w:w="160"/>
              <w:bottom w:type="dxa" w:w="100"/>
              <w:right w:type="dxa" w:w="160"/>
            </w:tcMar>
            <w:vAlign w:val="top"/>
          </w:tcPr>
          <w:p>
            <w:pPr>
              <w:spacing w:after="0"/>
              <w:jc w:val="center"/>
            </w:pPr>
            <w:r>
              <w:rPr>
                <w:rFonts w:ascii="Georgia" w:cs="Georgia" w:eastAsia="Georgia" w:hAnsi="Georgia"/>
                <w:b/>
                <w:bCs/>
                <w:color w:val="C5952A"/>
                <w:sz w:val="20"/>
                <w:szCs w:val="20"/>
              </w:rPr>
              <w:t xml:space="preserve">3</w:t>
            </w:r>
          </w:p>
        </w:tc>
        <w:tc>
          <w:tcPr>
            <w:tcW w:type="dxa" w:w="26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Review and validate</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Open the HTML report. Review the governance scorecard, semantic loss findings, and competency question test results. Schedule a one-hour review with the domain expert to validate entity definitions and relationships. Sign off the scope charter.</w:t>
            </w:r>
          </w:p>
        </w:tc>
      </w:tr>
    </w:tbl>
    <w:p>
      <w:pPr>
        <w:spacing w:after="200"/>
      </w:pPr>
      <w:r>
        <w:rPr>
          <w:rFonts w:ascii="Georgia" w:cs="Georgia" w:eastAsia="Georgia" w:hAnsi="Georgia"/>
          <w:sz w:val="22"/>
          <w:szCs w:val="22"/>
        </w:rPr>
        <w:t xml:space="preserve"/>
      </w:r>
    </w:p>
    <w:p>
      <w:pPr>
        <w:pStyle w:val="Heading2"/>
        <w:spacing w:after="180" w:before="400"/>
      </w:pPr>
      <w:r>
        <w:rPr>
          <w:rFonts w:ascii="Arial" w:cs="Arial" w:eastAsia="Arial" w:hAnsi="Arial"/>
          <w:b/>
          <w:bCs/>
          <w:color w:val="1A4A8A"/>
          <w:sz w:val="30"/>
          <w:szCs w:val="30"/>
        </w:rPr>
        <w:t xml:space="preserve">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Timeline</w:t>
            </w:r>
          </w:p>
        </w:tc>
        <w:tc>
          <w:tcPr>
            <w:tcW w:type="dxa" w:w="696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Milestone</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Day 1</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Onboarding wizard completed. Schema, ontology metadata, scope charter, and CQ catalog generated.</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Day 1–2</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Full pipeline run: OWL 2 ontology, SHACL shapes, JSON-LD context, SKOS vocabulary, mapping workbook, HTML report.</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Week 2</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Domain expert review. Governance scorecard reviewed. Scope charter signed off. Semantic loss backlog triaged.</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Weeks 3–4</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SHACL validation integrated into data pipeline. JSON-LD context published. Agent payloads tested.</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Weeks 5–6</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First AI use case connected to ontology-annotated data. Improvement in output quality and auditability demonstrated.</w:t>
            </w:r>
          </w:p>
        </w:tc>
      </w:tr>
      <w:tr>
        <w:tc>
          <w:tcPr>
            <w:tcW w:type="dxa" w:w="24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Month 3+</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Second domain piloted. Semantic definitions from pilot 1 reused where applicable. Governance maturity score improves.</w:t>
            </w:r>
          </w:p>
        </w:tc>
      </w:tr>
    </w:tbl>
    <w:p>
      <w:pPr>
        <w:spacing w:after="200"/>
      </w:pPr>
      <w:r>
        <w:rPr>
          <w:rFonts w:ascii="Georgia" w:cs="Georgia" w:eastAsia="Georgia" w:hAnsi="Georgia"/>
          <w:sz w:val="22"/>
          <w:szCs w:val="22"/>
        </w:rPr>
        <w:t xml:space="preserve"/>
      </w:r>
    </w:p>
    <w:p>
      <w:pPr>
        <w:pStyle w:val="Heading2"/>
        <w:spacing w:after="180" w:before="400"/>
      </w:pPr>
      <w:r>
        <w:rPr>
          <w:rFonts w:ascii="Arial" w:cs="Arial" w:eastAsia="Arial" w:hAnsi="Arial"/>
          <w:b/>
          <w:bCs/>
          <w:color w:val="1A4A8A"/>
          <w:sz w:val="30"/>
          <w:szCs w:val="30"/>
        </w:rPr>
        <w:t xml:space="preserve">Recommended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Role</w:t>
            </w:r>
          </w:p>
        </w:tc>
        <w:tc>
          <w:tcPr>
            <w:tcW w:type="dxa" w:w="6760"/>
            <w:tcBorders>
              <w:top w:val="single" w:color="D1D5DB" w:sz="1"/>
              <w:left w:val="single" w:color="D1D5DB" w:sz="1"/>
              <w:bottom w:val="single" w:color="D1D5DB" w:sz="1"/>
              <w:right w:val="single" w:color="D1D5DB" w:sz="1"/>
            </w:tcBorders>
            <w:shd w:fill="0D2B55" w:val="clear"/>
            <w:tcMar>
              <w:top w:type="dxa" w:w="100"/>
              <w:left w:type="dxa" w:w="160"/>
              <w:bottom w:type="dxa" w:w="100"/>
              <w:right w:type="dxa" w:w="160"/>
            </w:tcMar>
            <w:vAlign w:val="top"/>
          </w:tcPr>
          <w:p>
            <w:pPr>
              <w:spacing w:after="0"/>
              <w:jc w:val="left"/>
            </w:pPr>
            <w:r>
              <w:rPr>
                <w:rFonts w:ascii="Georgia" w:cs="Georgia" w:eastAsia="Georgia" w:hAnsi="Georgia"/>
                <w:b/>
                <w:bCs/>
                <w:color w:val="FFFFFF"/>
                <w:sz w:val="20"/>
                <w:szCs w:val="20"/>
              </w:rPr>
              <w:t xml:space="preserve">Contribution</w:t>
            </w:r>
          </w:p>
        </w:tc>
      </w:tr>
      <w:tr>
        <w:tc>
          <w:tcPr>
            <w:tcW w:type="dxa" w:w="26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Data Architect / Ontology Engineer</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Owns the OWL model, SHACL shapes, and versioning. Primary owner of all pipeline outputs.</w:t>
            </w:r>
          </w:p>
        </w:tc>
      </w:tr>
      <w:tr>
        <w:tc>
          <w:tcPr>
            <w:tcW w:type="dxa" w:w="26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Domain Subject-Matter Expert</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Validates entity definitions and relationships. Provides competency questions. Signs off scope charter.</w:t>
            </w:r>
          </w:p>
        </w:tc>
      </w:tr>
      <w:tr>
        <w:tc>
          <w:tcPr>
            <w:tcW w:type="dxa" w:w="26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Data Engineer / Platform Team</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Integrates SHACL validation into the data pipeline. Manages database connections and schema mapping.</w:t>
            </w:r>
          </w:p>
        </w:tc>
      </w:tr>
      <w:tr>
        <w:tc>
          <w:tcPr>
            <w:tcW w:type="dxa" w:w="26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AI / ML Engineer</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Connects AI systems and LLM agents to the JSON-LD context and MCP tool definitions.</w:t>
            </w:r>
          </w:p>
        </w:tc>
      </w:tr>
      <w:tr>
        <w:tc>
          <w:tcPr>
            <w:tcW w:type="dxa" w:w="2600"/>
            <w:tcBorders>
              <w:top w:val="single" w:color="D1D5DB" w:sz="1"/>
              <w:left w:val="single" w:color="D1D5DB" w:sz="1"/>
              <w:bottom w:val="single" w:color="D1D5DB" w:sz="1"/>
              <w:right w:val="single" w:color="D1D5DB" w:sz="1"/>
            </w:tcBorders>
            <w:shd w:fill="F8FAFC" w:val="clear"/>
            <w:tcMar>
              <w:top w:type="dxa" w:w="100"/>
              <w:left w:type="dxa" w:w="160"/>
              <w:bottom w:type="dxa" w:w="100"/>
              <w:right w:type="dxa" w:w="160"/>
            </w:tcMar>
            <w:vAlign w:val="top"/>
          </w:tcPr>
          <w:p>
            <w:pPr>
              <w:spacing w:after="0"/>
              <w:jc w:val="left"/>
            </w:pPr>
            <w:r>
              <w:rPr>
                <w:rFonts w:ascii="Georgia" w:cs="Georgia" w:eastAsia="Georgia" w:hAnsi="Georgia"/>
                <w:b/>
                <w:bCs/>
                <w:color w:val="000000"/>
                <w:sz w:val="20"/>
                <w:szCs w:val="20"/>
              </w:rPr>
              <w:t xml:space="preserve">Data Governance / Compliance</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vAlign w:val="top"/>
          </w:tcPr>
          <w:p>
            <w:pPr>
              <w:spacing w:after="0"/>
              <w:jc w:val="left"/>
            </w:pPr>
            <w:r>
              <w:rPr>
                <w:rFonts w:ascii="Georgia" w:cs="Georgia" w:eastAsia="Georgia" w:hAnsi="Georgia"/>
                <w:b w:val="false"/>
                <w:bCs w:val="false"/>
                <w:color w:val="000000"/>
                <w:sz w:val="20"/>
                <w:szCs w:val="20"/>
              </w:rPr>
              <w:t xml:space="preserve">Reviews sensitivity classification and RBAC policy. Signs off on governance scorecard.</w:t>
            </w:r>
          </w:p>
        </w:tc>
      </w:tr>
    </w:tbl>
    <w:p>
      <w:pPr>
        <w:spacing w:after="200"/>
      </w:pPr>
      <w:r>
        <w:rPr>
          <w:rFonts w:ascii="Georgia" w:cs="Georgia" w:eastAsia="Georgia" w:hAnsi="Georgia"/>
          <w:sz w:val="22"/>
          <w:szCs w:val="22"/>
        </w:rPr>
        <w:t xml:space="preserve"/>
      </w:r>
    </w:p>
    <w:p>
      <w:pPr>
        <w:pBdr>
          <w:left w:val="thick" w:color="C5952A" w:sz="24" w:space="14"/>
        </w:pBdr>
        <w:shd w:fill="FBF3E3" w:val="clear"/>
        <w:spacing w:after="200" w:before="200"/>
        <w:ind w:left="480" w:right="480"/>
      </w:pPr>
      <w:r>
        <w:rPr>
          <w:rFonts w:ascii="Georgia" w:cs="Georgia" w:eastAsia="Georgia" w:hAnsi="Georgia"/>
          <w:b/>
          <w:bCs/>
          <w:sz w:val="22"/>
          <w:szCs w:val="22"/>
        </w:rPr>
        <w:t xml:space="preserve">Bottom line: </w:t>
      </w:r>
      <w:r>
        <w:rPr>
          <w:rFonts w:ascii="Georgia" w:cs="Georgia" w:eastAsia="Georgia" w:hAnsi="Georgia"/>
          <w:sz w:val="23"/>
          <w:szCs w:val="23"/>
        </w:rPr>
        <w:t xml:space="preserve">A two-person team (data architect + domain expert) working part-time can complete Phases 1–3 of a first pilot in four weeks. The semantic contract produced will serve every AI initiative on that domain for years. The question is not whether the investment is justified. It is how long the organisation can afford to build AI on an ambiguous foundation.</w:t>
      </w:r>
    </w:p>
    <w:p>
      <w:r>
        <w:rPr>
          <w:vanish/>
        </w:rPr>
        <w:br w:type="page"/>
      </w:r>
    </w:p>
    <w:p>
      <w:pPr>
        <w:pStyle w:val="Heading1"/>
        <w:spacing w:after="220" w:before="560"/>
      </w:pPr>
      <w:r>
        <w:rPr>
          <w:rFonts w:ascii="Arial" w:cs="Arial" w:eastAsia="Arial" w:hAnsi="Arial"/>
          <w:b/>
          <w:bCs/>
          <w:color w:val="0D2B55"/>
          <w:sz w:val="44"/>
          <w:szCs w:val="44"/>
        </w:rPr>
        <w:t xml:space="preserve">8.  Conclusion</w:t>
      </w:r>
    </w:p>
    <w:p>
      <w:pPr>
        <w:spacing w:after="180"/>
        <w:jc w:val="both"/>
      </w:pPr>
      <w:r>
        <w:rPr>
          <w:rFonts w:ascii="Georgia" w:cs="Georgia" w:eastAsia="Georgia" w:hAnsi="Georgia"/>
          <w:sz w:val="22"/>
          <w:szCs w:val="22"/>
        </w:rPr>
        <w:t xml:space="preserve">The enterprise AI era has arrived. Trillions of dollars of AI capability are being deployed against data that those systems cannot reliably understand. The performance gap is real, measurable, and growing — and it will not close through better models alone. Models get smarter. The semantic gap does not close by itself.</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Ontology closes it. A formal semantic contract, built on open W3C standards, enforced by machine-validated shapes, and surfaced through agent-ready exchange formats — this is the infrastructure that transforms enterprise data from a collection of tables into a domain an AI can reason over.</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sz w:val="22"/>
          <w:szCs w:val="22"/>
        </w:rPr>
        <w:t xml:space="preserve">The Ontology Engineering Toolkit makes this infrastructure accessible to any organisation, any team, any domain, and any major relational database — without requiring a specialist ontologist, without replacing existing systems, and without a multi-year programme of record.</w:t>
      </w:r>
    </w:p>
    <w:p>
      <w:pPr>
        <w:spacing w:after="80"/>
      </w:pPr>
      <w:r>
        <w:rPr>
          <w:rFonts w:ascii="Georgia" w:cs="Georgia" w:eastAsia="Georgia" w:hAnsi="Georgia"/>
          <w:sz w:val="22"/>
          <w:szCs w:val="22"/>
        </w:rPr>
        <w:t xml:space="preserve"/>
      </w:r>
    </w:p>
    <w:p>
      <w:pPr>
        <w:spacing w:after="180"/>
        <w:jc w:val="both"/>
      </w:pPr>
      <w:r>
        <w:rPr>
          <w:rFonts w:ascii="Georgia" w:cs="Georgia" w:eastAsia="Georgia" w:hAnsi="Georgia"/>
          <w:b/>
          <w:bCs/>
          <w:sz w:val="22"/>
          <w:szCs w:val="22"/>
        </w:rPr>
        <w:t xml:space="preserve">The semantic gap is the last infrastructure problem of the AI era. </w:t>
      </w:r>
      <w:r>
        <w:rPr>
          <w:rFonts w:ascii="Georgia" w:cs="Georgia" w:eastAsia="Georgia" w:hAnsi="Georgia"/>
          <w:sz w:val="22"/>
          <w:szCs w:val="22"/>
        </w:rPr>
        <w:t xml:space="preserve">The toolkit closes it.</w:t>
      </w:r>
    </w:p>
    <w:p>
      <w:pPr>
        <w:spacing w:after="200"/>
      </w:pPr>
      <w:r>
        <w:rPr>
          <w:rFonts w:ascii="Georgia" w:cs="Georgia" w:eastAsia="Georgia" w:hAnsi="Georgia"/>
          <w:sz w:val="22"/>
          <w:szCs w:val="22"/>
        </w:rPr>
        <w:t xml:space="preserve"/>
      </w:r>
    </w:p>
    <w:p>
      <w:pPr>
        <w:pBdr>
          <w:bottom w:val="single" w:color="C5952A" w:sz="6" w:space="4"/>
        </w:pBdr>
        <w:spacing w:after="0"/>
      </w:pPr>
      <w:r>
        <w:rPr>
          <w:rFonts w:ascii="Georgia" w:cs="Georgia" w:eastAsia="Georgia" w:hAnsi="Georgia"/>
          <w:sz w:val="22"/>
          <w:szCs w:val="22"/>
        </w:rPr>
        <w:t xml:space="preserve"/>
      </w:r>
    </w:p>
    <w:p>
      <w:pPr>
        <w:spacing w:after="120"/>
      </w:pPr>
      <w:r>
        <w:rPr>
          <w:rFonts w:ascii="Georgia" w:cs="Georgia" w:eastAsia="Georgia" w:hAnsi="Georgia"/>
          <w:sz w:val="22"/>
          <w:szCs w:val="22"/>
        </w:rPr>
        <w:t xml:space="preserve"/>
      </w:r>
    </w:p>
    <w:p>
      <w:pPr>
        <w:spacing w:after="60"/>
        <w:jc w:val="center"/>
      </w:pPr>
      <w:r>
        <w:rPr>
          <w:rFonts w:ascii="Arial" w:cs="Arial" w:eastAsia="Arial" w:hAnsi="Arial"/>
          <w:b/>
          <w:bCs/>
          <w:color w:val="0D2B55"/>
          <w:sz w:val="20"/>
          <w:szCs w:val="20"/>
        </w:rPr>
        <w:t xml:space="preserve">Ontology Engineering Toolkit</w:t>
      </w:r>
    </w:p>
    <w:p>
      <w:pPr>
        <w:spacing w:after="60"/>
        <w:jc w:val="center"/>
      </w:pPr>
      <w:r>
        <w:rPr>
          <w:rFonts w:ascii="Arial" w:cs="Arial" w:eastAsia="Arial" w:hAnsi="Arial"/>
          <w:color w:val="475569"/>
          <w:sz w:val="18"/>
          <w:szCs w:val="18"/>
        </w:rPr>
        <w:t xml:space="preserve">Framework v1.1  ·  Toolkit v1.3  ·  April 2026</w:t>
      </w:r>
    </w:p>
    <w:p>
      <w:pPr>
        <w:spacing w:after="0"/>
        <w:jc w:val="center"/>
      </w:pPr>
      <w:r>
        <w:rPr>
          <w:rFonts w:ascii="Arial" w:cs="Arial" w:eastAsia="Arial" w:hAnsi="Arial"/>
          <w:color w:val="6B7280"/>
          <w:sz w:val="18"/>
          <w:szCs w:val="18"/>
        </w:rPr>
        <w:t xml:space="preserve">OWL 2  ·  SHACL  ·  PROV-O  ·  SKOS  ·  JSON-LD  ·  TM Forum SID v23.0</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360"/>
      </w:pPr>
      <w:rPr>
        <w:rFonts w:ascii="Arial" w:cs="Arial" w:eastAsia="Arial" w:hAnsi="Arial"/>
        <w:color w:val="C595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0D2B55"/>
      <w:sz w:val="44"/>
      <w:szCs w:val="44"/>
    </w:rPr>
  </w:style>
  <w:style w:type="paragraph" w:styleId="Heading2">
    <w:name w:val="Heading 2"/>
    <w:basedOn w:val="Normal"/>
    <w:next w:val="Normal"/>
    <w:qFormat/>
    <w:pPr>
      <w:spacing w:after="180" w:before="400"/>
      <w:outlineLvl w:val="1"/>
    </w:pPr>
    <w:rPr>
      <w:rFonts w:ascii="Arial" w:cs="Arial" w:eastAsia="Arial" w:hAnsi="Arial"/>
      <w:b/>
      <w:bCs/>
      <w:color w:val="1A4A8A"/>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6DB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2026-04-18T19:44:22.743Z</dcterms:created>
  <dcterms:modified xsi:type="dcterms:W3CDTF">2026-04-18T19:44:22.744Z</dcterms:modified>
</cp:coreProperties>
</file>

<file path=docProps/custom.xml><?xml version="1.0" encoding="utf-8"?>
<Properties xmlns="http://schemas.openxmlformats.org/officeDocument/2006/custom-properties" xmlns:vt="http://schemas.openxmlformats.org/officeDocument/2006/docPropsVTypes"/>
</file>