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480"/>
              <w:bottom w:type="dxa" w:w="400"/>
              <w:right w:type="dxa" w:w="480"/>
            </w:tcMar>
          </w:tcPr>
          <w:p>
            <w:pPr>
              <w:spacing w:after="80"/>
            </w:pPr>
            <w:r>
              <w:rPr>
                <w:rFonts w:ascii="Arial" w:cs="Arial" w:eastAsia="Arial" w:hAnsi="Arial"/>
                <w:b/>
                <w:bCs/>
                <w:color w:val="93C5FD"/>
                <w:spacing w:val="200"/>
                <w:sz w:val="20"/>
                <w:szCs w:val="20"/>
              </w:rPr>
              <w:t xml:space="preserve">PROMPTRAIL</w:t>
            </w:r>
          </w:p>
          <w:p>
            <w:pPr>
              <w:spacing w:after="120"/>
            </w:pPr>
            <w:r>
              <w:rPr>
                <w:rFonts w:ascii="Arial" w:cs="Arial" w:eastAsia="Arial" w:hAnsi="Arial"/>
                <w:b/>
                <w:bCs/>
                <w:color w:val="FFFFFF"/>
                <w:sz w:val="44"/>
                <w:szCs w:val="44"/>
              </w:rPr>
              <w:t xml:space="preserve">Phase-Wise Implementation Timeline</w:t>
            </w:r>
          </w:p>
          <w:p>
            <w:pPr>
              <w:spacing w:after="40"/>
            </w:pPr>
            <w:r>
              <w:rPr>
                <w:rFonts w:ascii="Arial" w:cs="Arial" w:eastAsia="Arial" w:hAnsi="Arial"/>
                <w:color w:val="94A3B8"/>
                <w:sz w:val="22"/>
                <w:szCs w:val="22"/>
              </w:rPr>
              <w:t xml:space="preserve">18-Month Engineering Roadmap  •  v1.3</w:t>
            </w:r>
          </w:p>
          <w:p>
            <w:pPr>
              <w:spacing w:after="0"/>
            </w:pPr>
            <w:r>
              <w:rPr>
                <w:rFonts w:ascii="Arial" w:cs="Arial" w:eastAsia="Arial" w:hAnsi="Arial"/>
                <w:color w:val="64748B"/>
                <w:sz w:val="20"/>
                <w:szCs w:val="20"/>
              </w:rPr>
              <w:t xml:space="preserve">Enterprise Shadow AI Detection &amp; Prevention</w:t>
            </w:r>
          </w:p>
        </w:tc>
      </w:tr>
    </w:tbl>
    <w:p>
      <w:pPr>
        <w:spacing w:after="240" w:before="0"/>
      </w:pPr>
    </w:p>
    <w:p>
      <w:pPr>
        <w:pStyle w:val="Heading1"/>
        <w:spacing w:after="120" w:before="360"/>
      </w:pPr>
      <w:r>
        <w:rPr>
          <w:rFonts w:ascii="Arial" w:cs="Arial" w:eastAsia="Arial" w:hAnsi="Arial"/>
          <w:b/>
          <w:bCs/>
          <w:color w:val="0F172A"/>
          <w:sz w:val="36"/>
          <w:szCs w:val="36"/>
        </w:rPr>
        <w:t xml:space="preserve">Executive Overview</w:t>
      </w:r>
    </w:p>
    <w:p>
      <w:pPr>
        <w:spacing w:after="80" w:before="40" w:line="288" w:lineRule="auto"/>
      </w:pPr>
      <w:r>
        <w:rPr>
          <w:rFonts w:ascii="Arial" w:cs="Arial" w:eastAsia="Arial" w:hAnsi="Arial"/>
          <w:b w:val="false"/>
          <w:bCs w:val="false"/>
          <w:color w:val="0F172A"/>
          <w:sz w:val="20"/>
          <w:szCs w:val="20"/>
        </w:rPr>
        <w:t xml:space="preserve">PromptRail is delivered across four sequential engineering phases spanning 18 months. Each phase has a defined scope, team ownership, and hard exit criteria that must be satisfied before the next phase begins. The timeline is structured to ensure working software ships incrementally — the agent is passive-monitoring capable by end of Phase 2, actively blocking by Phase 3, and fully enterprise-ready with legal compliance by Phase 4.</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3260"/>
        <w:gridCol w:w="2600"/>
      </w:tblGrid>
      <w:tr>
        <w:tc>
          <w:tcPr>
            <w:tcW w:type="dxa" w:w="1100"/>
            <w:tcBorders>
              <w:top w:val="none" w:color="FFFFFF" w:sz="0"/>
              <w:left w:val="none" w:color="FFFFFF" w:sz="0"/>
              <w:bottom w:val="none" w:color="FFFFFF" w:sz="0"/>
              <w:right w:val="none" w:color="FFFFFF" w:sz="0"/>
            </w:tcBorders>
            <w:shd w:fill="0F172A" w:val="clear"/>
            <w:tcMar>
              <w:top w:type="dxa" w:w="100"/>
              <w:left w:type="dxa" w:w="120"/>
              <w:bottom w:type="dxa" w:w="100"/>
              <w:right w:type="dxa" w:w="80"/>
            </w:tcMar>
          </w:tcPr>
          <w:p>
            <w:r>
              <w:rPr>
                <w:rFonts w:ascii="Arial" w:cs="Arial" w:eastAsia="Arial" w:hAnsi="Arial"/>
                <w:b/>
                <w:bCs/>
                <w:color w:val="FFFFFF"/>
                <w:sz w:val="18"/>
                <w:szCs w:val="18"/>
              </w:rPr>
              <w:t xml:space="preserve">Phase</w:t>
            </w:r>
          </w:p>
        </w:tc>
        <w:tc>
          <w:tcPr>
            <w:tcW w:type="dxa" w:w="2400"/>
            <w:tcBorders>
              <w:top w:val="none" w:color="FFFFFF" w:sz="0"/>
              <w:left w:val="none" w:color="FFFFFF" w:sz="0"/>
              <w:bottom w:val="none" w:color="FFFFFF" w:sz="0"/>
              <w:right w:val="none" w:color="FFFFFF" w:sz="0"/>
            </w:tcBorders>
            <w:shd w:fill="0F172A" w:val="clear"/>
            <w:tcMar>
              <w:top w:type="dxa" w:w="100"/>
              <w:left w:type="dxa" w:w="120"/>
              <w:bottom w:type="dxa" w:w="100"/>
              <w:right w:type="dxa" w:w="80"/>
            </w:tcMar>
          </w:tcPr>
          <w:p>
            <w:r>
              <w:rPr>
                <w:rFonts w:ascii="Arial" w:cs="Arial" w:eastAsia="Arial" w:hAnsi="Arial"/>
                <w:b/>
                <w:bCs/>
                <w:color w:val="FFFFFF"/>
                <w:sz w:val="18"/>
                <w:szCs w:val="18"/>
              </w:rPr>
              <w:t xml:space="preserve">Duration</w:t>
            </w:r>
          </w:p>
        </w:tc>
        <w:tc>
          <w:tcPr>
            <w:tcW w:type="dxa" w:w="3260"/>
            <w:tcBorders>
              <w:top w:val="none" w:color="FFFFFF" w:sz="0"/>
              <w:left w:val="none" w:color="FFFFFF" w:sz="0"/>
              <w:bottom w:val="none" w:color="FFFFFF" w:sz="0"/>
              <w:right w:val="none" w:color="FFFFFF" w:sz="0"/>
            </w:tcBorders>
            <w:shd w:fill="0F172A" w:val="clear"/>
            <w:tcMar>
              <w:top w:type="dxa" w:w="100"/>
              <w:left w:type="dxa" w:w="120"/>
              <w:bottom w:type="dxa" w:w="100"/>
              <w:right w:type="dxa" w:w="80"/>
            </w:tcMar>
          </w:tcPr>
          <w:p>
            <w:r>
              <w:rPr>
                <w:rFonts w:ascii="Arial" w:cs="Arial" w:eastAsia="Arial" w:hAnsi="Arial"/>
                <w:b/>
                <w:bCs/>
                <w:color w:val="FFFFFF"/>
                <w:sz w:val="18"/>
                <w:szCs w:val="18"/>
              </w:rPr>
              <w:t xml:space="preserve">Focus</w:t>
            </w:r>
          </w:p>
        </w:tc>
        <w:tc>
          <w:tcPr>
            <w:tcW w:type="dxa" w:w="2600"/>
            <w:tcBorders>
              <w:top w:val="none" w:color="FFFFFF" w:sz="0"/>
              <w:left w:val="none" w:color="FFFFFF" w:sz="0"/>
              <w:bottom w:val="none" w:color="FFFFFF" w:sz="0"/>
              <w:right w:val="none" w:color="FFFFFF" w:sz="0"/>
            </w:tcBorders>
            <w:shd w:fill="0F172A" w:val="clear"/>
            <w:tcMar>
              <w:top w:type="dxa" w:w="100"/>
              <w:left w:type="dxa" w:w="120"/>
              <w:bottom w:type="dxa" w:w="100"/>
              <w:right w:type="dxa" w:w="80"/>
            </w:tcMar>
          </w:tcPr>
          <w:p>
            <w:r>
              <w:rPr>
                <w:rFonts w:ascii="Arial" w:cs="Arial" w:eastAsia="Arial" w:hAnsi="Arial"/>
                <w:b/>
                <w:bCs/>
                <w:color w:val="FFFFFF"/>
                <w:sz w:val="18"/>
                <w:szCs w:val="18"/>
              </w:rPr>
              <w:t xml:space="preserve">Key Output</w:t>
            </w:r>
          </w:p>
        </w:tc>
      </w:tr>
      <w:tr>
        <w:tc>
          <w:tcPr>
            <w:tcW w:type="dxa" w:w="11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80"/>
            </w:tcMar>
          </w:tcPr>
          <w:p>
            <w:r>
              <w:rPr>
                <w:rFonts w:ascii="Arial" w:cs="Arial" w:eastAsia="Arial" w:hAnsi="Arial"/>
                <w:b/>
                <w:bCs/>
                <w:color w:val="1A56DB"/>
                <w:sz w:val="20"/>
                <w:szCs w:val="20"/>
              </w:rPr>
              <w:t xml:space="preserve">1</w:t>
            </w:r>
          </w:p>
        </w:tc>
        <w:tc>
          <w:tcPr>
            <w:tcW w:type="dxa" w:w="240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r>
              <w:rPr>
                <w:rFonts w:ascii="Arial" w:cs="Arial" w:eastAsia="Arial" w:hAnsi="Arial"/>
                <w:b/>
                <w:bCs/>
                <w:color w:val="0F172A"/>
                <w:sz w:val="18"/>
                <w:szCs w:val="18"/>
              </w:rPr>
              <w:t xml:space="preserve">Months 1–5</w:t>
            </w:r>
          </w:p>
        </w:tc>
        <w:tc>
          <w:tcPr>
            <w:tcW w:type="dxa" w:w="32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r>
              <w:rPr>
                <w:rFonts w:ascii="Arial" w:cs="Arial" w:eastAsia="Arial" w:hAnsi="Arial"/>
                <w:color w:val="0F172A"/>
                <w:sz w:val="18"/>
                <w:szCs w:val="18"/>
              </w:rPr>
              <w:t xml:space="preserve">Core Interception &amp; Protocol Hardening</w:t>
            </w:r>
          </w:p>
        </w:tc>
        <w:tc>
          <w:tcPr>
            <w:tcW w:type="dxa" w:w="2600"/>
            <w:tcBorders>
              <w:top w:val="single" w:color="D1D5DB" w:sz="1"/>
              <w:left w:val="single" w:color="D1D5DB" w:sz="1"/>
              <w:bottom w:val="single" w:color="D1D5DB" w:sz="1"/>
              <w:right w:val="single" w:color="D1D5DB" w:sz="1"/>
            </w:tcBorders>
            <w:shd w:fill="EFF6FF" w:val="clear"/>
            <w:tcMar>
              <w:top w:type="dxa" w:w="80"/>
              <w:left w:type="dxa" w:w="80"/>
              <w:bottom w:type="dxa" w:w="80"/>
              <w:right w:type="dxa" w:w="120"/>
            </w:tcMar>
          </w:tcPr>
          <w:p>
            <w:r>
              <w:rPr>
                <w:rFonts w:ascii="Arial" w:cs="Arial" w:eastAsia="Arial" w:hAnsi="Arial"/>
                <w:color w:val="64748B"/>
                <w:sz w:val="18"/>
                <w:szCs w:val="18"/>
              </w:rPr>
              <w:t xml:space="preserve">Working TLS hook on all 3 OSes + QUIC blocking</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1A56DB"/>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0F172A"/>
                <w:sz w:val="18"/>
                <w:szCs w:val="18"/>
              </w:rPr>
              <w:t xml:space="preserve">Months 6–10</w:t>
            </w:r>
          </w:p>
        </w:tc>
        <w:tc>
          <w:tcPr>
            <w:tcW w:type="dxa" w:w="32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ML Integration &amp; Flow Classification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On-device AI detection + DLP + local LLM coverage</w:t>
            </w:r>
          </w:p>
        </w:tc>
      </w:tr>
      <w:tr>
        <w:tc>
          <w:tcPr>
            <w:tcW w:type="dxa" w:w="11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80"/>
            </w:tcMar>
          </w:tcPr>
          <w:p>
            <w:r>
              <w:rPr>
                <w:rFonts w:ascii="Arial" w:cs="Arial" w:eastAsia="Arial" w:hAnsi="Arial"/>
                <w:b/>
                <w:bCs/>
                <w:color w:val="1A56DB"/>
                <w:sz w:val="20"/>
                <w:szCs w:val="20"/>
              </w:rPr>
              <w:t xml:space="preserve">3</w:t>
            </w:r>
          </w:p>
        </w:tc>
        <w:tc>
          <w:tcPr>
            <w:tcW w:type="dxa" w:w="240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r>
              <w:rPr>
                <w:rFonts w:ascii="Arial" w:cs="Arial" w:eastAsia="Arial" w:hAnsi="Arial"/>
                <w:b/>
                <w:bCs/>
                <w:color w:val="0F172A"/>
                <w:sz w:val="18"/>
                <w:szCs w:val="18"/>
              </w:rPr>
              <w:t xml:space="preserve">Months 11–14</w:t>
            </w:r>
          </w:p>
        </w:tc>
        <w:tc>
          <w:tcPr>
            <w:tcW w:type="dxa" w:w="32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80"/>
            </w:tcMar>
          </w:tcPr>
          <w:p>
            <w:r>
              <w:rPr>
                <w:rFonts w:ascii="Arial" w:cs="Arial" w:eastAsia="Arial" w:hAnsi="Arial"/>
                <w:color w:val="0F172A"/>
                <w:sz w:val="18"/>
                <w:szCs w:val="18"/>
              </w:rPr>
              <w:t xml:space="preserve">Policy Enforcement &amp; Hardware Attestation</w:t>
            </w:r>
          </w:p>
        </w:tc>
        <w:tc>
          <w:tcPr>
            <w:tcW w:type="dxa" w:w="2600"/>
            <w:tcBorders>
              <w:top w:val="single" w:color="D1D5DB" w:sz="1"/>
              <w:left w:val="single" w:color="D1D5DB" w:sz="1"/>
              <w:bottom w:val="single" w:color="D1D5DB" w:sz="1"/>
              <w:right w:val="single" w:color="D1D5DB" w:sz="1"/>
            </w:tcBorders>
            <w:shd w:fill="EFF6FF" w:val="clear"/>
            <w:tcMar>
              <w:top w:type="dxa" w:w="80"/>
              <w:left w:type="dxa" w:w="80"/>
              <w:bottom w:type="dxa" w:w="80"/>
              <w:right w:type="dxa" w:w="120"/>
            </w:tcMar>
          </w:tcPr>
          <w:p>
            <w:r>
              <w:rPr>
                <w:rFonts w:ascii="Arial" w:cs="Arial" w:eastAsia="Arial" w:hAnsi="Arial"/>
                <w:color w:val="64748B"/>
                <w:sz w:val="18"/>
                <w:szCs w:val="18"/>
              </w:rPr>
              <w:t xml:space="preserve">Active blocking + TPM attestation + browser mgmt</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1A56DB"/>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0F172A"/>
                <w:sz w:val="18"/>
                <w:szCs w:val="18"/>
              </w:rPr>
              <w:t xml:space="preserve">Months 15–18</w:t>
            </w:r>
          </w:p>
        </w:tc>
        <w:tc>
          <w:tcPr>
            <w:tcW w:type="dxa" w:w="32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SaaS Console, Compliance &amp; Beta Rollout</w:t>
            </w:r>
          </w:p>
        </w:tc>
        <w:tc>
          <w:tcPr>
            <w:tcW w:type="dxa" w:w="2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Full enterprise console + legal compliance + GA</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A56DB" w:val="clear"/>
            <w:tcMar>
              <w:top w:type="dxa" w:w="140"/>
              <w:left w:type="dxa" w:w="200"/>
              <w:bottom w:type="dxa" w:w="140"/>
              <w:right w:type="dxa" w:w="120"/>
            </w:tcMar>
          </w:tcPr>
          <w:p>
            <w:r>
              <w:rPr>
                <w:rFonts w:ascii="Arial" w:cs="Arial" w:eastAsia="Arial" w:hAnsi="Arial"/>
                <w:b/>
                <w:bCs/>
                <w:color w:val="FFFFFF"/>
                <w:sz w:val="24"/>
                <w:szCs w:val="24"/>
              </w:rPr>
              <w:t xml:space="preserve">Phase 1 — Core Interception, Dynamic Discovery &amp; Protocol Hardening</w:t>
            </w:r>
          </w:p>
        </w:tc>
        <w:tc>
          <w:tcPr>
            <w:tcW w:type="dxa" w:w="2860"/>
            <w:tcBorders>
              <w:top w:val="none" w:color="FFFFFF" w:sz="0"/>
              <w:left w:val="none" w:color="FFFFFF" w:sz="0"/>
              <w:bottom w:val="none" w:color="FFFFFF" w:sz="0"/>
              <w:right w:val="none" w:color="FFFFFF" w:sz="0"/>
            </w:tcBorders>
            <w:shd w:fill="1A56DB" w:val="clear"/>
            <w:tcMar>
              <w:top w:type="dxa" w:w="140"/>
              <w:left w:type="dxa" w:w="120"/>
              <w:bottom w:type="dxa" w:w="140"/>
              <w:right w:type="dxa" w:w="200"/>
            </w:tcMar>
            <w:vAlign w:val="center"/>
          </w:tcPr>
          <w:p>
            <w:pPr>
              <w:jc w:val="right"/>
            </w:pPr>
            <w:r>
              <w:rPr>
                <w:rFonts w:ascii="Arial" w:cs="Arial" w:eastAsia="Arial" w:hAnsi="Arial"/>
                <w:b/>
                <w:bCs/>
                <w:color w:val="FFFFFF"/>
                <w:sz w:val="22"/>
                <w:szCs w:val="22"/>
              </w:rPr>
              <w:t xml:space="preserve">Months 1–5</w:t>
            </w:r>
          </w:p>
        </w:tc>
      </w:tr>
    </w:tbl>
    <w:p>
      <w:pPr>
        <w:spacing w:after="80" w:before="0"/>
      </w:pPr>
    </w:p>
    <w:p>
      <w:pPr>
        <w:spacing w:after="60" w:before="200"/>
      </w:pPr>
      <w:r>
        <w:rPr>
          <w:rFonts w:ascii="Arial" w:cs="Arial" w:eastAsia="Arial" w:hAnsi="Arial"/>
          <w:b/>
          <w:bCs/>
          <w:color w:val="0F172A"/>
          <w:sz w:val="22"/>
          <w:szCs w:val="22"/>
        </w:rPr>
        <w:t xml:space="preserve">Objective</w:t>
      </w:r>
    </w:p>
    <w:p>
      <w:pPr>
        <w:spacing w:after="80" w:before="40" w:line="288" w:lineRule="auto"/>
      </w:pPr>
      <w:r>
        <w:rPr>
          <w:rFonts w:ascii="Arial" w:cs="Arial" w:eastAsia="Arial" w:hAnsi="Arial"/>
          <w:b w:val="false"/>
          <w:bCs w:val="false"/>
          <w:color w:val="0F172A"/>
          <w:sz w:val="20"/>
          <w:szCs w:val="20"/>
        </w:rPr>
        <w:t xml:space="preserve">Establish reliable, low-overhead TLS plaintext capture across Linux, Windows, and macOS. Simultaneously harden the interception layer against known bypass vectors: stripped BoringSSL binaries, VPN tunnelling, QUIC/HTTP3, and WSL2/Docker network namespace isolation.</w:t>
      </w:r>
    </w:p>
    <w:p>
      <w:pPr>
        <w:spacing w:after="60" w:before="0"/>
      </w:pPr>
    </w:p>
    <w:p>
      <w:pPr>
        <w:spacing w:after="60" w:before="200"/>
      </w:pPr>
      <w:r>
        <w:rPr>
          <w:rFonts w:ascii="Arial" w:cs="Arial" w:eastAsia="Arial" w:hAnsi="Arial"/>
          <w:b/>
          <w:bCs/>
          <w:color w:val="0F172A"/>
          <w:sz w:val="22"/>
          <w:szCs w:val="22"/>
        </w:rPr>
        <w:t xml:space="preserve">Month-by-Month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EFF6FF" w:val="clear"/>
            <w:tcMar>
              <w:top w:type="dxa" w:w="80"/>
              <w:left w:type="dxa" w:w="100"/>
              <w:bottom w:type="dxa" w:w="80"/>
              <w:right w:type="dxa" w:w="80"/>
            </w:tcMar>
          </w:tcPr>
          <w:p>
            <w:r>
              <w:rPr>
                <w:rFonts w:ascii="Arial" w:cs="Arial" w:eastAsia="Arial" w:hAnsi="Arial"/>
                <w:b/>
                <w:bCs/>
                <w:color w:val="1A56DB"/>
                <w:sz w:val="18"/>
                <w:szCs w:val="18"/>
              </w:rPr>
              <w:t xml:space="preserve">M1</w:t>
            </w:r>
          </w:p>
        </w:tc>
        <w:tc>
          <w:tcPr>
            <w:tcW w:type="dxa" w:w="85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100"/>
            </w:tcMar>
          </w:tcPr>
          <w:p>
            <w:r>
              <w:rPr>
                <w:rFonts w:ascii="Arial" w:cs="Arial" w:eastAsia="Arial" w:hAnsi="Arial"/>
                <w:color w:val="0F172A"/>
                <w:sz w:val="18"/>
                <w:szCs w:val="18"/>
              </w:rPr>
              <w:t xml:space="preserve">Project scaffolding: Rust/Aya eBPF workspace, Windows DDK environment (Visual Studio + WDK), Swift Network Extension project. CI/CD pipelines (GitHub Actions) and signing certificates obtained. Linux eBPF uprobe prototype for OpenSSL SSL_write/SSL_read on a test VM.</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1A56DB"/>
                <w:sz w:val="18"/>
                <w:szCs w:val="18"/>
              </w:rPr>
              <w:t xml:space="preserve">M2</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Linux: Full eBPF uprobe engine with /proc/&lt;pid&gt;/maps watcher and ELF dependency detection. Process metadata extraction (PID, TGID, UID, cmdline). BPF ring buffer to userspace daemon.</w:t>
            </w:r>
          </w:p>
        </w:tc>
      </w:tr>
      <w:tr>
        <w:tc>
          <w:tcPr>
            <w:tcW w:type="dxa" w:w="800"/>
            <w:tcBorders>
              <w:top w:val="single" w:color="D1D5DB" w:sz="1"/>
              <w:left w:val="single" w:color="D1D5DB" w:sz="1"/>
              <w:bottom w:val="single" w:color="D1D5DB" w:sz="1"/>
              <w:right w:val="single" w:color="D1D5DB" w:sz="1"/>
            </w:tcBorders>
            <w:shd w:fill="EFF6FF" w:val="clear"/>
            <w:tcMar>
              <w:top w:type="dxa" w:w="80"/>
              <w:left w:type="dxa" w:w="100"/>
              <w:bottom w:type="dxa" w:w="80"/>
              <w:right w:type="dxa" w:w="80"/>
            </w:tcMar>
          </w:tcPr>
          <w:p>
            <w:r>
              <w:rPr>
                <w:rFonts w:ascii="Arial" w:cs="Arial" w:eastAsia="Arial" w:hAnsi="Arial"/>
                <w:b/>
                <w:bCs/>
                <w:color w:val="1A56DB"/>
                <w:sz w:val="18"/>
                <w:szCs w:val="18"/>
              </w:rPr>
              <w:t xml:space="preserve">M3</w:t>
            </w:r>
          </w:p>
        </w:tc>
        <w:tc>
          <w:tcPr>
            <w:tcW w:type="dxa" w:w="85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100"/>
            </w:tcMar>
          </w:tcPr>
          <w:p>
            <w:r>
              <w:rPr>
                <w:rFonts w:ascii="Arial" w:cs="Arial" w:eastAsia="Arial" w:hAnsi="Arial"/>
                <w:color w:val="0F172A"/>
                <w:sz w:val="18"/>
                <w:szCs w:val="18"/>
              </w:rPr>
              <w:t xml:space="preserve">Linux: Dynamic Offset Discovery Engine — byte-pattern matching for stripped BoringSSL in Electron/Go CLI tools. CI regression test harness against BoringSSL upstream releases. WSL2 companion agent scaffolding established.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1A56DB"/>
                <w:sz w:val="18"/>
                <w:szCs w:val="18"/>
              </w:rPr>
              <w:t xml:space="preserve">M4</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Windows: WFP kernel-mode callout driver. FWPM_LAYER_ALE_AUTH_CONNECT_REDIRECT_V4 → loopback proxy (127.0.0.1:9091). WFP weight management to override VPN TAP/TUN drivers. UDP/443 block to force QUIC → HTTP/2 fallback. ELAM driver prototype.</w:t>
            </w:r>
          </w:p>
        </w:tc>
      </w:tr>
      <w:tr>
        <w:tc>
          <w:tcPr>
            <w:tcW w:type="dxa" w:w="800"/>
            <w:tcBorders>
              <w:top w:val="single" w:color="D1D5DB" w:sz="1"/>
              <w:left w:val="single" w:color="D1D5DB" w:sz="1"/>
              <w:bottom w:val="single" w:color="D1D5DB" w:sz="1"/>
              <w:right w:val="single" w:color="D1D5DB" w:sz="1"/>
            </w:tcBorders>
            <w:shd w:fill="EFF6FF" w:val="clear"/>
            <w:tcMar>
              <w:top w:type="dxa" w:w="80"/>
              <w:left w:type="dxa" w:w="100"/>
              <w:bottom w:type="dxa" w:w="80"/>
              <w:right w:type="dxa" w:w="80"/>
            </w:tcMar>
          </w:tcPr>
          <w:p>
            <w:r>
              <w:rPr>
                <w:rFonts w:ascii="Arial" w:cs="Arial" w:eastAsia="Arial" w:hAnsi="Arial"/>
                <w:b/>
                <w:bCs/>
                <w:color w:val="1A56DB"/>
                <w:sz w:val="18"/>
                <w:szCs w:val="18"/>
              </w:rPr>
              <w:t xml:space="preserve">M5</w:t>
            </w:r>
          </w:p>
        </w:tc>
        <w:tc>
          <w:tcPr>
            <w:tcW w:type="dxa" w:w="8560"/>
            <w:tcBorders>
              <w:top w:val="single" w:color="D1D5DB" w:sz="1"/>
              <w:left w:val="single" w:color="D1D5DB" w:sz="1"/>
              <w:bottom w:val="single" w:color="D1D5DB" w:sz="1"/>
              <w:right w:val="single" w:color="D1D5DB" w:sz="1"/>
            </w:tcBorders>
            <w:shd w:fill="EFF6FF" w:val="clear"/>
            <w:tcMar>
              <w:top w:type="dxa" w:w="80"/>
              <w:left w:type="dxa" w:w="80"/>
              <w:bottom w:type="dxa" w:w="80"/>
              <w:right w:type="dxa" w:w="100"/>
            </w:tcMar>
          </w:tcPr>
          <w:p>
            <w:r>
              <w:rPr>
                <w:rFonts w:ascii="Arial" w:cs="Arial" w:eastAsia="Arial" w:hAnsi="Arial"/>
                <w:color w:val="0F172A"/>
                <w:sz w:val="18"/>
                <w:szCs w:val="18"/>
              </w:rPr>
              <w:t xml:space="preserve">macOS: NETransparentProxyProvider Swift agent. Apple Notarization submitted and cleared. Cross-platform integration test: all three OSes capturing plaintext from curl, Python requests, VS Code Copilot extension, and Ollama on loopback. Phase gate review.</w:t>
            </w:r>
          </w:p>
        </w:tc>
      </w:tr>
    </w:tbl>
    <w:p>
      <w:pPr>
        <w:spacing w:after="80" w:before="0"/>
      </w:pPr>
    </w:p>
    <w:p>
      <w:pPr>
        <w:spacing w:after="60" w:before="200"/>
      </w:pPr>
      <w:r>
        <w:rPr>
          <w:rFonts w:ascii="Arial" w:cs="Arial" w:eastAsia="Arial" w:hAnsi="Arial"/>
          <w:b/>
          <w:bCs/>
          <w:color w:val="0F172A"/>
          <w:sz w:val="22"/>
          <w:szCs w:val="22"/>
        </w:rPr>
        <w:t xml:space="preserve">Deliverables &amp;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FFFFFF" w:sz="1"/>
              <w:left w:val="single" w:color="FFFFFF" w:sz="1"/>
              <w:bottom w:val="single" w:color="FFFFFF" w:sz="1"/>
              <w:right w:val="single" w:color="FFFFFF" w:sz="1"/>
            </w:tcBorders>
            <w:shd w:fill="1A56DB" w:val="clear"/>
            <w:tcMar>
              <w:top w:type="dxa" w:w="80"/>
              <w:left w:type="dxa" w:w="120"/>
              <w:bottom w:type="dxa" w:w="80"/>
              <w:right w:type="dxa" w:w="80"/>
            </w:tcMar>
          </w:tcPr>
          <w:p>
            <w:r>
              <w:rPr>
                <w:rFonts w:ascii="Arial" w:cs="Arial" w:eastAsia="Arial" w:hAnsi="Arial"/>
                <w:b/>
                <w:bCs/>
                <w:color w:val="FFFFFF"/>
                <w:sz w:val="18"/>
                <w:szCs w:val="18"/>
              </w:rPr>
              <w:t xml:space="preserve">Workstream</w:t>
            </w:r>
          </w:p>
        </w:tc>
        <w:tc>
          <w:tcPr>
            <w:tcW w:type="dxa" w:w="3680"/>
            <w:tcBorders>
              <w:top w:val="single" w:color="FFFFFF" w:sz="1"/>
              <w:left w:val="single" w:color="FFFFFF" w:sz="1"/>
              <w:bottom w:val="single" w:color="FFFFFF" w:sz="1"/>
              <w:right w:val="single" w:color="FFFFFF" w:sz="1"/>
            </w:tcBorders>
            <w:shd w:fill="1A56DB" w:val="clear"/>
            <w:tcMar>
              <w:top w:type="dxa" w:w="80"/>
              <w:left w:type="dxa" w:w="80"/>
              <w:bottom w:type="dxa" w:w="80"/>
              <w:right w:type="dxa" w:w="80"/>
            </w:tcMar>
          </w:tcPr>
          <w:p>
            <w:r>
              <w:rPr>
                <w:rFonts w:ascii="Arial" w:cs="Arial" w:eastAsia="Arial" w:hAnsi="Arial"/>
                <w:b/>
                <w:bCs/>
                <w:color w:val="FFFFFF"/>
                <w:sz w:val="18"/>
                <w:szCs w:val="18"/>
              </w:rPr>
              <w:t xml:space="preserve">Key Deliverables</w:t>
            </w:r>
          </w:p>
        </w:tc>
        <w:tc>
          <w:tcPr>
            <w:tcW w:type="dxa" w:w="2680"/>
            <w:tcBorders>
              <w:top w:val="single" w:color="FFFFFF" w:sz="1"/>
              <w:left w:val="single" w:color="FFFFFF" w:sz="1"/>
              <w:bottom w:val="single" w:color="FFFFFF" w:sz="1"/>
              <w:right w:val="single" w:color="FFFFFF" w:sz="1"/>
            </w:tcBorders>
            <w:shd w:fill="1A56DB" w:val="clear"/>
            <w:tcMar>
              <w:top w:type="dxa" w:w="80"/>
              <w:left w:type="dxa" w:w="80"/>
              <w:bottom w:type="dxa" w:w="80"/>
              <w:right w:type="dxa" w:w="120"/>
            </w:tcMar>
          </w:tcPr>
          <w:p>
            <w:r>
              <w:rPr>
                <w:rFonts w:ascii="Arial" w:cs="Arial" w:eastAsia="Arial" w:hAnsi="Arial"/>
                <w:b/>
                <w:bCs/>
                <w:color w:val="FFFFFF"/>
                <w:sz w:val="18"/>
                <w:szCs w:val="18"/>
              </w:rPr>
              <w:t xml:space="preserve">Exit Criteria / Gate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Linux eBPF Engine</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uprobe + uretprobe on OpenSSL, GnuTLS, BoringSSL (dynamic offset)</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SSL_write hook fires on python3, curl, VS Code with 0 missed events in 1hr soak test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Windows WFP Driver</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Callout driver + loopback redirect + VPN weight override + QUIC block</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Driver WHQL-signed; no EDR alert from CrowdStrike/SentinelOne in test environment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macOS Network Extension</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NETransparentProxyProvider capturing all NWConnection flows</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Apple Notarization approved; auditing token correctly identifies process per connection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WSL2 Companion Agent</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Lightweight Linux eBPF agent inside WSL2 + named pipe IPC</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Traffic from WSL2 Python script appears in host agent telemetry</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QUIC Blocking</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UDP/443 XDP/WFP drop rules; Chrome falls back to HTTP/2</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Wireshark confirms zero QUIC flows to AI endpoints; HTTP/2 used instead</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16A34A" w:val="clear"/>
            <w:tcMar>
              <w:top w:type="dxa" w:w="140"/>
              <w:left w:type="dxa" w:w="200"/>
              <w:bottom w:type="dxa" w:w="140"/>
              <w:right w:type="dxa" w:w="120"/>
            </w:tcMar>
          </w:tcPr>
          <w:p>
            <w:r>
              <w:rPr>
                <w:rFonts w:ascii="Arial" w:cs="Arial" w:eastAsia="Arial" w:hAnsi="Arial"/>
                <w:b/>
                <w:bCs/>
                <w:color w:val="FFFFFF"/>
                <w:sz w:val="24"/>
                <w:szCs w:val="24"/>
              </w:rPr>
              <w:t xml:space="preserve">Phase 2 — Lightweight ML Integration &amp; Flow Classification</w:t>
            </w:r>
          </w:p>
        </w:tc>
        <w:tc>
          <w:tcPr>
            <w:tcW w:type="dxa" w:w="2860"/>
            <w:tcBorders>
              <w:top w:val="none" w:color="FFFFFF" w:sz="0"/>
              <w:left w:val="none" w:color="FFFFFF" w:sz="0"/>
              <w:bottom w:val="none" w:color="FFFFFF" w:sz="0"/>
              <w:right w:val="none" w:color="FFFFFF" w:sz="0"/>
            </w:tcBorders>
            <w:shd w:fill="16A34A" w:val="clear"/>
            <w:tcMar>
              <w:top w:type="dxa" w:w="140"/>
              <w:left w:type="dxa" w:w="120"/>
              <w:bottom w:type="dxa" w:w="140"/>
              <w:right w:type="dxa" w:w="200"/>
            </w:tcMar>
            <w:vAlign w:val="center"/>
          </w:tcPr>
          <w:p>
            <w:pPr>
              <w:jc w:val="right"/>
            </w:pPr>
            <w:r>
              <w:rPr>
                <w:rFonts w:ascii="Arial" w:cs="Arial" w:eastAsia="Arial" w:hAnsi="Arial"/>
                <w:b/>
                <w:bCs/>
                <w:color w:val="FFFFFF"/>
                <w:sz w:val="22"/>
                <w:szCs w:val="22"/>
              </w:rPr>
              <w:t xml:space="preserve">Months 6–10</w:t>
            </w:r>
          </w:p>
        </w:tc>
      </w:tr>
    </w:tbl>
    <w:p>
      <w:pPr>
        <w:spacing w:after="80" w:before="0"/>
      </w:pPr>
    </w:p>
    <w:p>
      <w:pPr>
        <w:spacing w:after="60" w:before="200"/>
      </w:pPr>
      <w:r>
        <w:rPr>
          <w:rFonts w:ascii="Arial" w:cs="Arial" w:eastAsia="Arial" w:hAnsi="Arial"/>
          <w:b/>
          <w:bCs/>
          <w:color w:val="0F172A"/>
          <w:sz w:val="22"/>
          <w:szCs w:val="22"/>
        </w:rPr>
        <w:t xml:space="preserve">Objective</w:t>
      </w:r>
    </w:p>
    <w:p>
      <w:pPr>
        <w:spacing w:after="80" w:before="40" w:line="288" w:lineRule="auto"/>
      </w:pPr>
      <w:r>
        <w:rPr>
          <w:rFonts w:ascii="Arial" w:cs="Arial" w:eastAsia="Arial" w:hAnsi="Arial"/>
          <w:b w:val="false"/>
          <w:bCs w:val="false"/>
          <w:color w:val="0F172A"/>
          <w:sz w:val="20"/>
          <w:szCs w:val="20"/>
        </w:rPr>
        <w:t xml:space="preserve">Wire the captured plaintext into a multi-layer ML classification pipeline. The agent must distinguish AI traffic from normal web traffic before decryption (Layer 1) and identify DLP violations, prompt semantics, and obfuscated payloads after decryption (Layer 2). Local LLM traffic on loopback must also be classified.</w:t>
      </w:r>
    </w:p>
    <w:p>
      <w:pPr>
        <w:spacing w:after="60" w:before="0"/>
      </w:pPr>
    </w:p>
    <w:p>
      <w:pPr>
        <w:spacing w:after="60" w:before="200"/>
      </w:pPr>
      <w:r>
        <w:rPr>
          <w:rFonts w:ascii="Arial" w:cs="Arial" w:eastAsia="Arial" w:hAnsi="Arial"/>
          <w:b/>
          <w:bCs/>
          <w:color w:val="0F172A"/>
          <w:sz w:val="22"/>
          <w:szCs w:val="22"/>
        </w:rPr>
        <w:t xml:space="preserve">Month-by-Month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80"/>
            </w:tcMar>
          </w:tcPr>
          <w:p>
            <w:r>
              <w:rPr>
                <w:rFonts w:ascii="Arial" w:cs="Arial" w:eastAsia="Arial" w:hAnsi="Arial"/>
                <w:b/>
                <w:bCs/>
                <w:color w:val="16A34A"/>
                <w:sz w:val="18"/>
                <w:szCs w:val="18"/>
              </w:rPr>
              <w:t xml:space="preserve">M6</w:t>
            </w:r>
          </w:p>
        </w:tc>
        <w:tc>
          <w:tcPr>
            <w:tcW w:type="dxa" w:w="85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100"/>
            </w:tcMar>
          </w:tcPr>
          <w:p>
            <w:r>
              <w:rPr>
                <w:rFonts w:ascii="Arial" w:cs="Arial" w:eastAsia="Arial" w:hAnsi="Arial"/>
                <w:color w:val="0F172A"/>
                <w:sz w:val="18"/>
                <w:szCs w:val="18"/>
              </w:rPr>
              <w:t xml:space="preserve">Dataset curation: ~500K labelled LLM API requests (OpenAI, Anthropic, Gemini, Vertex AI, AWS Bedrock, Ollama) + 1M normal web flows. JA4+ fingerprinting library integrated; ClientHello parser extracting cipher suites, TLS extensions, and ALPN.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16A34A"/>
                <w:sz w:val="18"/>
                <w:szCs w:val="18"/>
              </w:rPr>
              <w:t xml:space="preserve">M7</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Layer 1 neural network training: flow-level metadata model (packet size distribution, inter-arrival timing, byte-ratio asymmetry). gRPC streaming heuristics added: Content-Type: application/grpc detection + long-lived HTTP/2 stream lifetime features.</w:t>
            </w:r>
          </w:p>
        </w:tc>
      </w:tr>
      <w:tr>
        <w:tc>
          <w:tcPr>
            <w:tcW w:type="dxa" w:w="8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80"/>
            </w:tcMar>
          </w:tcPr>
          <w:p>
            <w:r>
              <w:rPr>
                <w:rFonts w:ascii="Arial" w:cs="Arial" w:eastAsia="Arial" w:hAnsi="Arial"/>
                <w:b/>
                <w:bCs/>
                <w:color w:val="16A34A"/>
                <w:sz w:val="18"/>
                <w:szCs w:val="18"/>
              </w:rPr>
              <w:t xml:space="preserve">M8</w:t>
            </w:r>
          </w:p>
        </w:tc>
        <w:tc>
          <w:tcPr>
            <w:tcW w:type="dxa" w:w="85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100"/>
            </w:tcMar>
          </w:tcPr>
          <w:p>
            <w:r>
              <w:rPr>
                <w:rFonts w:ascii="Arial" w:cs="Arial" w:eastAsia="Arial" w:hAnsi="Arial"/>
                <w:color w:val="0F172A"/>
                <w:sz w:val="18"/>
                <w:szCs w:val="18"/>
              </w:rPr>
              <w:t xml:space="preserve">ONNX Runtime integrated into all three OS agents. Layer 1 model quantized and deployed: &lt;2MB binary footprint, &lt;3ms inference per flow on endpoint hardware. False positive rate validated at &lt;0.1% on normal enterprise traffic.</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16A34A"/>
                <w:sz w:val="18"/>
                <w:szCs w:val="18"/>
              </w:rPr>
              <w:t xml:space="preserve">M9</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BERT-Lite NLP model fine-tuned for DLP: PII, PCI, PHI, source code, infra configs. Quantized to ~10MB ONNX; inference within 30MB RAM. protobuf schema parser added for gRPC payload deconstruction. Schema-matching ruleset for OpenAI/Anthropic/Bedrock JSON contracts.</w:t>
            </w:r>
          </w:p>
        </w:tc>
      </w:tr>
      <w:tr>
        <w:tc>
          <w:tcPr>
            <w:tcW w:type="dxa" w:w="800"/>
            <w:tcBorders>
              <w:top w:val="single" w:color="D1D5DB" w:sz="1"/>
              <w:left w:val="single" w:color="D1D5DB" w:sz="1"/>
              <w:bottom w:val="single" w:color="D1D5DB" w:sz="1"/>
              <w:right w:val="single" w:color="D1D5DB" w:sz="1"/>
            </w:tcBorders>
            <w:shd w:fill="F0FDF4" w:val="clear"/>
            <w:tcMar>
              <w:top w:type="dxa" w:w="80"/>
              <w:left w:type="dxa" w:w="100"/>
              <w:bottom w:type="dxa" w:w="80"/>
              <w:right w:type="dxa" w:w="80"/>
            </w:tcMar>
          </w:tcPr>
          <w:p>
            <w:r>
              <w:rPr>
                <w:rFonts w:ascii="Arial" w:cs="Arial" w:eastAsia="Arial" w:hAnsi="Arial"/>
                <w:b/>
                <w:bCs/>
                <w:color w:val="16A34A"/>
                <w:sz w:val="18"/>
                <w:szCs w:val="18"/>
              </w:rPr>
              <w:t xml:space="preserve">M10</w:t>
            </w:r>
          </w:p>
        </w:tc>
        <w:tc>
          <w:tcPr>
            <w:tcW w:type="dxa" w:w="8560"/>
            <w:tcBorders>
              <w:top w:val="single" w:color="D1D5DB" w:sz="1"/>
              <w:left w:val="single" w:color="D1D5DB" w:sz="1"/>
              <w:bottom w:val="single" w:color="D1D5DB" w:sz="1"/>
              <w:right w:val="single" w:color="D1D5DB" w:sz="1"/>
            </w:tcBorders>
            <w:shd w:fill="F0FDF4" w:val="clear"/>
            <w:tcMar>
              <w:top w:type="dxa" w:w="80"/>
              <w:left w:type="dxa" w:w="80"/>
              <w:bottom w:type="dxa" w:w="80"/>
              <w:right w:type="dxa" w:w="100"/>
            </w:tcMar>
          </w:tcPr>
          <w:p>
            <w:r>
              <w:rPr>
                <w:rFonts w:ascii="Arial" w:cs="Arial" w:eastAsia="Arial" w:hAnsi="Arial"/>
                <w:color w:val="0F172A"/>
                <w:sz w:val="18"/>
                <w:szCs w:val="18"/>
              </w:rPr>
              <w:t xml:space="preserve">Shannon entropy analysis module. Heuristics for Base64, hex, URL-encoded payloads. Loopback interface monitoring finalized (Linux lo XDP, Windows WFP loopback flag) — local AI ports registry (11434, 1234, 8080) live. Filesystem event watcher for Ollama/LM Studio binary installation. Phase gate review.</w:t>
            </w:r>
          </w:p>
        </w:tc>
      </w:tr>
    </w:tbl>
    <w:p>
      <w:pPr>
        <w:spacing w:after="80" w:before="0"/>
      </w:pPr>
    </w:p>
    <w:p>
      <w:pPr>
        <w:spacing w:after="60" w:before="200"/>
      </w:pPr>
      <w:r>
        <w:rPr>
          <w:rFonts w:ascii="Arial" w:cs="Arial" w:eastAsia="Arial" w:hAnsi="Arial"/>
          <w:b/>
          <w:bCs/>
          <w:color w:val="0F172A"/>
          <w:sz w:val="22"/>
          <w:szCs w:val="22"/>
        </w:rPr>
        <w:t xml:space="preserve">Deliverables &amp;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FFFFFF" w:sz="1"/>
              <w:left w:val="single" w:color="FFFFFF" w:sz="1"/>
              <w:bottom w:val="single" w:color="FFFFFF" w:sz="1"/>
              <w:right w:val="single" w:color="FFFFFF" w:sz="1"/>
            </w:tcBorders>
            <w:shd w:fill="16A34A" w:val="clear"/>
            <w:tcMar>
              <w:top w:type="dxa" w:w="80"/>
              <w:left w:type="dxa" w:w="120"/>
              <w:bottom w:type="dxa" w:w="80"/>
              <w:right w:type="dxa" w:w="80"/>
            </w:tcMar>
          </w:tcPr>
          <w:p>
            <w:r>
              <w:rPr>
                <w:rFonts w:ascii="Arial" w:cs="Arial" w:eastAsia="Arial" w:hAnsi="Arial"/>
                <w:b/>
                <w:bCs/>
                <w:color w:val="FFFFFF"/>
                <w:sz w:val="18"/>
                <w:szCs w:val="18"/>
              </w:rPr>
              <w:t xml:space="preserve">Workstream</w:t>
            </w:r>
          </w:p>
        </w:tc>
        <w:tc>
          <w:tcPr>
            <w:tcW w:type="dxa" w:w="3680"/>
            <w:tcBorders>
              <w:top w:val="single" w:color="FFFFFF" w:sz="1"/>
              <w:left w:val="single" w:color="FFFFFF" w:sz="1"/>
              <w:bottom w:val="single" w:color="FFFFFF" w:sz="1"/>
              <w:right w:val="single" w:color="FFFFFF" w:sz="1"/>
            </w:tcBorders>
            <w:shd w:fill="16A34A" w:val="clear"/>
            <w:tcMar>
              <w:top w:type="dxa" w:w="80"/>
              <w:left w:type="dxa" w:w="80"/>
              <w:bottom w:type="dxa" w:w="80"/>
              <w:right w:type="dxa" w:w="80"/>
            </w:tcMar>
          </w:tcPr>
          <w:p>
            <w:r>
              <w:rPr>
                <w:rFonts w:ascii="Arial" w:cs="Arial" w:eastAsia="Arial" w:hAnsi="Arial"/>
                <w:b/>
                <w:bCs/>
                <w:color w:val="FFFFFF"/>
                <w:sz w:val="18"/>
                <w:szCs w:val="18"/>
              </w:rPr>
              <w:t xml:space="preserve">Key Deliverables</w:t>
            </w:r>
          </w:p>
        </w:tc>
        <w:tc>
          <w:tcPr>
            <w:tcW w:type="dxa" w:w="2680"/>
            <w:tcBorders>
              <w:top w:val="single" w:color="FFFFFF" w:sz="1"/>
              <w:left w:val="single" w:color="FFFFFF" w:sz="1"/>
              <w:bottom w:val="single" w:color="FFFFFF" w:sz="1"/>
              <w:right w:val="single" w:color="FFFFFF" w:sz="1"/>
            </w:tcBorders>
            <w:shd w:fill="16A34A" w:val="clear"/>
            <w:tcMar>
              <w:top w:type="dxa" w:w="80"/>
              <w:left w:type="dxa" w:w="80"/>
              <w:bottom w:type="dxa" w:w="80"/>
              <w:right w:type="dxa" w:w="120"/>
            </w:tcMar>
          </w:tcPr>
          <w:p>
            <w:r>
              <w:rPr>
                <w:rFonts w:ascii="Arial" w:cs="Arial" w:eastAsia="Arial" w:hAnsi="Arial"/>
                <w:b/>
                <w:bCs/>
                <w:color w:val="FFFFFF"/>
                <w:sz w:val="18"/>
                <w:szCs w:val="18"/>
              </w:rPr>
              <w:t xml:space="preserve">Exit Criteria / Gate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JA4+ Layer 1</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TLS fingerprint + flow metadata classifier</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95%+ accuracy on held-out AI vs. normal traffic dataset; FPR &lt;0.1%</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BERT-Lite DLP Engine</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~10MB ONNX NLP model for PII/code/IP detection</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Correctly flags 98%+ of labelled PII/source code prompts in bench test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Entropy Analysis</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Shannon entropy + Base64/hex/ROT13 heuristics</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Detects &gt;90% of obfuscated payloads in adversarial test set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gRPC Classification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protobuf parser + Content-Type grpc detection</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Vertex AI and AWS Bedrock gRPC flows classified correctly in integration test</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Local LLM Coverage</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Loopback monitor + known port registry + fs watcher</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Ollama on localhost:11434 generates DLP event visible in SOC dashboard</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D97706" w:val="clear"/>
            <w:tcMar>
              <w:top w:type="dxa" w:w="140"/>
              <w:left w:type="dxa" w:w="200"/>
              <w:bottom w:type="dxa" w:w="140"/>
              <w:right w:type="dxa" w:w="120"/>
            </w:tcMar>
          </w:tcPr>
          <w:p>
            <w:r>
              <w:rPr>
                <w:rFonts w:ascii="Arial" w:cs="Arial" w:eastAsia="Arial" w:hAnsi="Arial"/>
                <w:b/>
                <w:bCs/>
                <w:color w:val="FFFFFF"/>
                <w:sz w:val="24"/>
                <w:szCs w:val="24"/>
              </w:rPr>
              <w:t xml:space="preserve">Phase 3 — Policy Enforcement, Browser Management &amp; Hardware Attestation</w:t>
            </w:r>
          </w:p>
        </w:tc>
        <w:tc>
          <w:tcPr>
            <w:tcW w:type="dxa" w:w="2860"/>
            <w:tcBorders>
              <w:top w:val="none" w:color="FFFFFF" w:sz="0"/>
              <w:left w:val="none" w:color="FFFFFF" w:sz="0"/>
              <w:bottom w:val="none" w:color="FFFFFF" w:sz="0"/>
              <w:right w:val="none" w:color="FFFFFF" w:sz="0"/>
            </w:tcBorders>
            <w:shd w:fill="D97706" w:val="clear"/>
            <w:tcMar>
              <w:top w:type="dxa" w:w="140"/>
              <w:left w:type="dxa" w:w="120"/>
              <w:bottom w:type="dxa" w:w="140"/>
              <w:right w:type="dxa" w:w="200"/>
            </w:tcMar>
            <w:vAlign w:val="center"/>
          </w:tcPr>
          <w:p>
            <w:pPr>
              <w:jc w:val="right"/>
            </w:pPr>
            <w:r>
              <w:rPr>
                <w:rFonts w:ascii="Arial" w:cs="Arial" w:eastAsia="Arial" w:hAnsi="Arial"/>
                <w:b/>
                <w:bCs/>
                <w:color w:val="FFFFFF"/>
                <w:sz w:val="22"/>
                <w:szCs w:val="22"/>
              </w:rPr>
              <w:t xml:space="preserve">Months 11–14</w:t>
            </w:r>
          </w:p>
        </w:tc>
      </w:tr>
    </w:tbl>
    <w:p>
      <w:pPr>
        <w:spacing w:after="80" w:before="0"/>
      </w:pPr>
    </w:p>
    <w:p>
      <w:pPr>
        <w:spacing w:after="60" w:before="200"/>
      </w:pPr>
      <w:r>
        <w:rPr>
          <w:rFonts w:ascii="Arial" w:cs="Arial" w:eastAsia="Arial" w:hAnsi="Arial"/>
          <w:b/>
          <w:bCs/>
          <w:color w:val="0F172A"/>
          <w:sz w:val="22"/>
          <w:szCs w:val="22"/>
        </w:rPr>
        <w:t xml:space="preserve">Objective</w:t>
      </w:r>
    </w:p>
    <w:p>
      <w:pPr>
        <w:spacing w:after="80" w:before="40" w:line="288" w:lineRule="auto"/>
      </w:pPr>
      <w:r>
        <w:rPr>
          <w:rFonts w:ascii="Arial" w:cs="Arial" w:eastAsia="Arial" w:hAnsi="Arial"/>
          <w:b w:val="false"/>
          <w:bCs w:val="false"/>
          <w:color w:val="0F172A"/>
          <w:sz w:val="20"/>
          <w:szCs w:val="20"/>
        </w:rPr>
        <w:t xml:space="preserve">Transition the agent from passive observation to active enforcement. Implement the hierarchical policy engine, browser-managed proxy integration, TPM 2.0 remote attestation to replace software heartbeats, and the FIDO2-backed break-glass uninstall workflow.</w:t>
      </w:r>
    </w:p>
    <w:p>
      <w:pPr>
        <w:spacing w:after="60" w:before="0"/>
      </w:pPr>
    </w:p>
    <w:p>
      <w:pPr>
        <w:spacing w:after="60" w:before="200"/>
      </w:pPr>
      <w:r>
        <w:rPr>
          <w:rFonts w:ascii="Arial" w:cs="Arial" w:eastAsia="Arial" w:hAnsi="Arial"/>
          <w:b/>
          <w:bCs/>
          <w:color w:val="0F172A"/>
          <w:sz w:val="22"/>
          <w:szCs w:val="22"/>
        </w:rPr>
        <w:t xml:space="preserve">Month-by-Month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FFFBEB" w:val="clear"/>
            <w:tcMar>
              <w:top w:type="dxa" w:w="80"/>
              <w:left w:type="dxa" w:w="100"/>
              <w:bottom w:type="dxa" w:w="80"/>
              <w:right w:type="dxa" w:w="80"/>
            </w:tcMar>
          </w:tcPr>
          <w:p>
            <w:r>
              <w:rPr>
                <w:rFonts w:ascii="Arial" w:cs="Arial" w:eastAsia="Arial" w:hAnsi="Arial"/>
                <w:b/>
                <w:bCs/>
                <w:color w:val="D97706"/>
                <w:sz w:val="18"/>
                <w:szCs w:val="18"/>
              </w:rPr>
              <w:t xml:space="preserve">M11</w:t>
            </w:r>
          </w:p>
        </w:tc>
        <w:tc>
          <w:tcPr>
            <w:tcW w:type="dxa" w:w="85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100"/>
            </w:tcMar>
          </w:tcPr>
          <w:p>
            <w:r>
              <w:rPr>
                <w:rFonts w:ascii="Arial" w:cs="Arial" w:eastAsia="Arial" w:hAnsi="Arial"/>
                <w:color w:val="0F172A"/>
                <w:sz w:val="18"/>
                <w:szCs w:val="18"/>
              </w:rPr>
              <w:t xml:space="preserve">Local rules engine: policy evaluation in deterministic order (Endpoint &gt; Group &gt; Global). Active blocking: TCP connection termination returning HTTP 403 to originating process. Policy local vault (AES-256-GCM SQLite, TPM-sealed key) with offline enforcement guarantee.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D97706"/>
                <w:sz w:val="18"/>
                <w:szCs w:val="18"/>
              </w:rPr>
              <w:t xml:space="preserve">M12</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Browser management: Chrome Enterprise Policy (ProxySettings, SSLDecryptionEnabled) and Edge Management Service deployment pipeline. MDM-enforced browser allowlist via Intune/Jamf. WFP/Network Extension fallback for Firefox and non-MDM browsers. Process executable allowlist for portable browser detection.</w:t>
            </w:r>
          </w:p>
        </w:tc>
      </w:tr>
      <w:tr>
        <w:tc>
          <w:tcPr>
            <w:tcW w:type="dxa" w:w="800"/>
            <w:tcBorders>
              <w:top w:val="single" w:color="D1D5DB" w:sz="1"/>
              <w:left w:val="single" w:color="D1D5DB" w:sz="1"/>
              <w:bottom w:val="single" w:color="D1D5DB" w:sz="1"/>
              <w:right w:val="single" w:color="D1D5DB" w:sz="1"/>
            </w:tcBorders>
            <w:shd w:fill="FFFBEB" w:val="clear"/>
            <w:tcMar>
              <w:top w:type="dxa" w:w="80"/>
              <w:left w:type="dxa" w:w="100"/>
              <w:bottom w:type="dxa" w:w="80"/>
              <w:right w:type="dxa" w:w="80"/>
            </w:tcMar>
          </w:tcPr>
          <w:p>
            <w:r>
              <w:rPr>
                <w:rFonts w:ascii="Arial" w:cs="Arial" w:eastAsia="Arial" w:hAnsi="Arial"/>
                <w:b/>
                <w:bCs/>
                <w:color w:val="D97706"/>
                <w:sz w:val="18"/>
                <w:szCs w:val="18"/>
              </w:rPr>
              <w:t xml:space="preserve">M13</w:t>
            </w:r>
          </w:p>
        </w:tc>
        <w:tc>
          <w:tcPr>
            <w:tcW w:type="dxa" w:w="8560"/>
            <w:tcBorders>
              <w:top w:val="single" w:color="D1D5DB" w:sz="1"/>
              <w:left w:val="single" w:color="D1D5DB" w:sz="1"/>
              <w:bottom w:val="single" w:color="D1D5DB" w:sz="1"/>
              <w:right w:val="single" w:color="D1D5DB" w:sz="1"/>
            </w:tcBorders>
            <w:shd w:fill="FFFBEB" w:val="clear"/>
            <w:tcMar>
              <w:top w:type="dxa" w:w="80"/>
              <w:left w:type="dxa" w:w="80"/>
              <w:bottom w:type="dxa" w:w="80"/>
              <w:right w:type="dxa" w:w="100"/>
            </w:tcMar>
          </w:tcPr>
          <w:p>
            <w:r>
              <w:rPr>
                <w:rFonts w:ascii="Arial" w:cs="Arial" w:eastAsia="Arial" w:hAnsi="Arial"/>
                <w:color w:val="0F172A"/>
                <w:sz w:val="18"/>
                <w:szCs w:val="18"/>
              </w:rPr>
              <w:t xml:space="preserve">Anti-tamper hardening: Windows PPL + ELAM driver finalized; filesystem filter driver for agent binary protection. macOS ES framework SIGTERM intercept. Linux SELinux/AppArmor profiles over BPF filesystem. TPM 2.0 PCR remote attestation: binary hash extended into PCRs at boot; cloud console verifies AIK-signed TPM Quote.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D97706"/>
                <w:sz w:val="18"/>
                <w:szCs w:val="18"/>
              </w:rPr>
              <w:t xml:space="preserve">M14</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FIDO2 break-glass workflow: CISO YubiKey-bound offline emergency uninstall token. WORM audit log for all break-glass events. SOC alert trigger on connectivity restore. VPN TAP/TUN adapter installation detection and alerting. Full red-team exercise: 5 engineers attempt to bypass agent; all findings remediated. Phase gate review.</w:t>
            </w:r>
          </w:p>
        </w:tc>
      </w:tr>
    </w:tbl>
    <w:p>
      <w:pPr>
        <w:spacing w:after="80" w:before="0"/>
      </w:pPr>
    </w:p>
    <w:p>
      <w:pPr>
        <w:spacing w:after="60" w:before="200"/>
      </w:pPr>
      <w:r>
        <w:rPr>
          <w:rFonts w:ascii="Arial" w:cs="Arial" w:eastAsia="Arial" w:hAnsi="Arial"/>
          <w:b/>
          <w:bCs/>
          <w:color w:val="0F172A"/>
          <w:sz w:val="22"/>
          <w:szCs w:val="22"/>
        </w:rPr>
        <w:t xml:space="preserve">Deliverables &amp;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FFFFFF" w:sz="1"/>
              <w:left w:val="single" w:color="FFFFFF" w:sz="1"/>
              <w:bottom w:val="single" w:color="FFFFFF" w:sz="1"/>
              <w:right w:val="single" w:color="FFFFFF" w:sz="1"/>
            </w:tcBorders>
            <w:shd w:fill="D97706" w:val="clear"/>
            <w:tcMar>
              <w:top w:type="dxa" w:w="80"/>
              <w:left w:type="dxa" w:w="120"/>
              <w:bottom w:type="dxa" w:w="80"/>
              <w:right w:type="dxa" w:w="80"/>
            </w:tcMar>
          </w:tcPr>
          <w:p>
            <w:r>
              <w:rPr>
                <w:rFonts w:ascii="Arial" w:cs="Arial" w:eastAsia="Arial" w:hAnsi="Arial"/>
                <w:b/>
                <w:bCs/>
                <w:color w:val="FFFFFF"/>
                <w:sz w:val="18"/>
                <w:szCs w:val="18"/>
              </w:rPr>
              <w:t xml:space="preserve">Workstream</w:t>
            </w:r>
          </w:p>
        </w:tc>
        <w:tc>
          <w:tcPr>
            <w:tcW w:type="dxa" w:w="3680"/>
            <w:tcBorders>
              <w:top w:val="single" w:color="FFFFFF" w:sz="1"/>
              <w:left w:val="single" w:color="FFFFFF" w:sz="1"/>
              <w:bottom w:val="single" w:color="FFFFFF" w:sz="1"/>
              <w:right w:val="single" w:color="FFFFFF" w:sz="1"/>
            </w:tcBorders>
            <w:shd w:fill="D97706" w:val="clear"/>
            <w:tcMar>
              <w:top w:type="dxa" w:w="80"/>
              <w:left w:type="dxa" w:w="80"/>
              <w:bottom w:type="dxa" w:w="80"/>
              <w:right w:type="dxa" w:w="80"/>
            </w:tcMar>
          </w:tcPr>
          <w:p>
            <w:r>
              <w:rPr>
                <w:rFonts w:ascii="Arial" w:cs="Arial" w:eastAsia="Arial" w:hAnsi="Arial"/>
                <w:b/>
                <w:bCs/>
                <w:color w:val="FFFFFF"/>
                <w:sz w:val="18"/>
                <w:szCs w:val="18"/>
              </w:rPr>
              <w:t xml:space="preserve">Key Deliverables</w:t>
            </w:r>
          </w:p>
        </w:tc>
        <w:tc>
          <w:tcPr>
            <w:tcW w:type="dxa" w:w="2680"/>
            <w:tcBorders>
              <w:top w:val="single" w:color="FFFFFF" w:sz="1"/>
              <w:left w:val="single" w:color="FFFFFF" w:sz="1"/>
              <w:bottom w:val="single" w:color="FFFFFF" w:sz="1"/>
              <w:right w:val="single" w:color="FFFFFF" w:sz="1"/>
            </w:tcBorders>
            <w:shd w:fill="D97706" w:val="clear"/>
            <w:tcMar>
              <w:top w:type="dxa" w:w="80"/>
              <w:left w:type="dxa" w:w="80"/>
              <w:bottom w:type="dxa" w:w="80"/>
              <w:right w:type="dxa" w:w="120"/>
            </w:tcMar>
          </w:tcPr>
          <w:p>
            <w:r>
              <w:rPr>
                <w:rFonts w:ascii="Arial" w:cs="Arial" w:eastAsia="Arial" w:hAnsi="Arial"/>
                <w:b/>
                <w:bCs/>
                <w:color w:val="FFFFFF"/>
                <w:sz w:val="18"/>
                <w:szCs w:val="18"/>
              </w:rPr>
              <w:t xml:space="preserve">Exit Criteria / Gate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Rules Engine</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Hierarchical policy eval + active TCP block + offline vault</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Policy change pushed from console takes effect on endpoint within 30 seconds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Browser Enforcement</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Chrome/Edge Enterprise Proxy + MDM allowlist + fallback WFP</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ChatGPT in Chrome blocked; Firefox blocked via WFP fallback; Brave detected as unapproved</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TPM Attestation</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PCR-extended boot hash + AIK-signed Quote verified by cloud console</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Memory-patched agent binary causes TPM Quote mismatch; SOC containment fires within 60s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Break-Glass</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YubiKey FIDO2 offline uninstall + WORM audit log</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Break-glass generates immutable audit event; online token path still requires cloud auth</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Red Team Gate</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5-engineer adversarial exercise against hardened agent</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Zero successful undetected bypasses; all findings from exercise closed before Phase 4</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DC2626" w:val="clear"/>
            <w:tcMar>
              <w:top w:type="dxa" w:w="140"/>
              <w:left w:type="dxa" w:w="200"/>
              <w:bottom w:type="dxa" w:w="140"/>
              <w:right w:type="dxa" w:w="120"/>
            </w:tcMar>
          </w:tcPr>
          <w:p>
            <w:r>
              <w:rPr>
                <w:rFonts w:ascii="Arial" w:cs="Arial" w:eastAsia="Arial" w:hAnsi="Arial"/>
                <w:b/>
                <w:bCs/>
                <w:color w:val="FFFFFF"/>
                <w:sz w:val="24"/>
                <w:szCs w:val="24"/>
              </w:rPr>
              <w:t xml:space="preserve">Phase 4 — SaaS Console, Compliance Workflows &amp; Beta Rollout</w:t>
            </w:r>
          </w:p>
        </w:tc>
        <w:tc>
          <w:tcPr>
            <w:tcW w:type="dxa" w:w="2860"/>
            <w:tcBorders>
              <w:top w:val="none" w:color="FFFFFF" w:sz="0"/>
              <w:left w:val="none" w:color="FFFFFF" w:sz="0"/>
              <w:bottom w:val="none" w:color="FFFFFF" w:sz="0"/>
              <w:right w:val="none" w:color="FFFFFF" w:sz="0"/>
            </w:tcBorders>
            <w:shd w:fill="DC2626" w:val="clear"/>
            <w:tcMar>
              <w:top w:type="dxa" w:w="140"/>
              <w:left w:type="dxa" w:w="120"/>
              <w:bottom w:type="dxa" w:w="140"/>
              <w:right w:type="dxa" w:w="200"/>
            </w:tcMar>
            <w:vAlign w:val="center"/>
          </w:tcPr>
          <w:p>
            <w:pPr>
              <w:jc w:val="right"/>
            </w:pPr>
            <w:r>
              <w:rPr>
                <w:rFonts w:ascii="Arial" w:cs="Arial" w:eastAsia="Arial" w:hAnsi="Arial"/>
                <w:b/>
                <w:bCs/>
                <w:color w:val="FFFFFF"/>
                <w:sz w:val="22"/>
                <w:szCs w:val="22"/>
              </w:rPr>
              <w:t xml:space="preserve">Months 15–18</w:t>
            </w:r>
          </w:p>
        </w:tc>
      </w:tr>
    </w:tbl>
    <w:p>
      <w:pPr>
        <w:spacing w:after="80" w:before="0"/>
      </w:pPr>
    </w:p>
    <w:p>
      <w:pPr>
        <w:spacing w:after="60" w:before="200"/>
      </w:pPr>
      <w:r>
        <w:rPr>
          <w:rFonts w:ascii="Arial" w:cs="Arial" w:eastAsia="Arial" w:hAnsi="Arial"/>
          <w:b/>
          <w:bCs/>
          <w:color w:val="0F172A"/>
          <w:sz w:val="22"/>
          <w:szCs w:val="22"/>
        </w:rPr>
        <w:t xml:space="preserve">Objective</w:t>
      </w:r>
    </w:p>
    <w:p>
      <w:pPr>
        <w:spacing w:after="80" w:before="40" w:line="288" w:lineRule="auto"/>
      </w:pPr>
      <w:r>
        <w:rPr>
          <w:rFonts w:ascii="Arial" w:cs="Arial" w:eastAsia="Arial" w:hAnsi="Arial"/>
          <w:b w:val="false"/>
          <w:bCs w:val="false"/>
          <w:color w:val="0F172A"/>
          <w:sz w:val="20"/>
          <w:szCs w:val="20"/>
        </w:rPr>
        <w:t xml:space="preserve">Deliver the enterprise-ready cloud control plane, implement all legal and privacy compliance requirements (GDPR, DPDPA, Works Council), and conduct a structured beta rollout with design partners.</w:t>
      </w:r>
    </w:p>
    <w:p>
      <w:pPr>
        <w:spacing w:after="60" w:before="0"/>
      </w:pPr>
    </w:p>
    <w:p>
      <w:pPr>
        <w:spacing w:after="60" w:before="200"/>
      </w:pPr>
      <w:r>
        <w:rPr>
          <w:rFonts w:ascii="Arial" w:cs="Arial" w:eastAsia="Arial" w:hAnsi="Arial"/>
          <w:b/>
          <w:bCs/>
          <w:color w:val="0F172A"/>
          <w:sz w:val="22"/>
          <w:szCs w:val="22"/>
        </w:rPr>
        <w:t xml:space="preserve">Month-by-Month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1D5DB" w:sz="1"/>
              <w:left w:val="single" w:color="D1D5DB" w:sz="1"/>
              <w:bottom w:val="single" w:color="D1D5DB" w:sz="1"/>
              <w:right w:val="single" w:color="D1D5DB" w:sz="1"/>
            </w:tcBorders>
            <w:shd w:fill="FFF1F2" w:val="clear"/>
            <w:tcMar>
              <w:top w:type="dxa" w:w="80"/>
              <w:left w:type="dxa" w:w="100"/>
              <w:bottom w:type="dxa" w:w="80"/>
              <w:right w:type="dxa" w:w="80"/>
            </w:tcMar>
          </w:tcPr>
          <w:p>
            <w:r>
              <w:rPr>
                <w:rFonts w:ascii="Arial" w:cs="Arial" w:eastAsia="Arial" w:hAnsi="Arial"/>
                <w:b/>
                <w:bCs/>
                <w:color w:val="DC2626"/>
                <w:sz w:val="18"/>
                <w:szCs w:val="18"/>
              </w:rPr>
              <w:t xml:space="preserve">M15</w:t>
            </w:r>
          </w:p>
        </w:tc>
        <w:tc>
          <w:tcPr>
            <w:tcW w:type="dxa" w:w="8560"/>
            <w:tcBorders>
              <w:top w:val="single" w:color="D1D5DB" w:sz="1"/>
              <w:left w:val="single" w:color="D1D5DB" w:sz="1"/>
              <w:bottom w:val="single" w:color="D1D5DB" w:sz="1"/>
              <w:right w:val="single" w:color="D1D5DB" w:sz="1"/>
            </w:tcBorders>
            <w:shd w:fill="FFF1F2" w:val="clear"/>
            <w:tcMar>
              <w:top w:type="dxa" w:w="80"/>
              <w:left w:type="dxa" w:w="80"/>
              <w:bottom w:type="dxa" w:w="80"/>
              <w:right w:type="dxa" w:w="100"/>
            </w:tcMar>
          </w:tcPr>
          <w:p>
            <w:r>
              <w:rPr>
                <w:rFonts w:ascii="Arial" w:cs="Arial" w:eastAsia="Arial" w:hAnsi="Arial"/>
                <w:color w:val="0F172A"/>
                <w:sz w:val="18"/>
                <w:szCs w:val="18"/>
              </w:rPr>
              <w:t xml:space="preserve">SaaS console backend (Go + gRPC): agent registration, heartbeat ingestion, telemetry pipeline into ClickHouse. Policy CRUD API with cryptographic signing. SAML 2.0 + OIDC SSO integration (Okta, Microsoft Entra ID). Role-based access control (CISO, SOC Engineer, Read-only Auditor).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DC2626"/>
                <w:sz w:val="18"/>
                <w:szCs w:val="18"/>
              </w:rPr>
              <w:t xml:space="preserve">M16</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Frontend dashboards (React + TypeScript + Tailwind): CISO Shadow AI Discovery Matrix heat map, Data Exfiltration Prevented metrics, and adoption velocity trends. SOC Process-Level Attribution Network Graphs, Live Flow Logs with JA4 fingerprint display, and active policy rule annotations.</w:t>
            </w:r>
          </w:p>
        </w:tc>
      </w:tr>
      <w:tr>
        <w:tc>
          <w:tcPr>
            <w:tcW w:type="dxa" w:w="800"/>
            <w:tcBorders>
              <w:top w:val="single" w:color="D1D5DB" w:sz="1"/>
              <w:left w:val="single" w:color="D1D5DB" w:sz="1"/>
              <w:bottom w:val="single" w:color="D1D5DB" w:sz="1"/>
              <w:right w:val="single" w:color="D1D5DB" w:sz="1"/>
            </w:tcBorders>
            <w:shd w:fill="FFF1F2" w:val="clear"/>
            <w:tcMar>
              <w:top w:type="dxa" w:w="80"/>
              <w:left w:type="dxa" w:w="100"/>
              <w:bottom w:type="dxa" w:w="80"/>
              <w:right w:type="dxa" w:w="80"/>
            </w:tcMar>
          </w:tcPr>
          <w:p>
            <w:r>
              <w:rPr>
                <w:rFonts w:ascii="Arial" w:cs="Arial" w:eastAsia="Arial" w:hAnsi="Arial"/>
                <w:b/>
                <w:bCs/>
                <w:color w:val="DC2626"/>
                <w:sz w:val="18"/>
                <w:szCs w:val="18"/>
              </w:rPr>
              <w:t xml:space="preserve">M17</w:t>
            </w:r>
          </w:p>
        </w:tc>
        <w:tc>
          <w:tcPr>
            <w:tcW w:type="dxa" w:w="8560"/>
            <w:tcBorders>
              <w:top w:val="single" w:color="D1D5DB" w:sz="1"/>
              <w:left w:val="single" w:color="D1D5DB" w:sz="1"/>
              <w:bottom w:val="single" w:color="D1D5DB" w:sz="1"/>
              <w:right w:val="single" w:color="D1D5DB" w:sz="1"/>
            </w:tcBorders>
            <w:shd w:fill="FFF1F2" w:val="clear"/>
            <w:tcMar>
              <w:top w:type="dxa" w:w="80"/>
              <w:left w:type="dxa" w:w="80"/>
              <w:bottom w:type="dxa" w:w="80"/>
              <w:right w:type="dxa" w:w="100"/>
            </w:tcMar>
          </w:tcPr>
          <w:p>
            <w:r>
              <w:rPr>
                <w:rFonts w:ascii="Arial" w:cs="Arial" w:eastAsia="Arial" w:hAnsi="Arial"/>
                <w:color w:val="0F172A"/>
                <w:sz w:val="18"/>
                <w:szCs w:val="18"/>
              </w:rPr>
              <w:t xml:space="preserve">Legal &amp; privacy compliance sprint: Audit Mode implementation (metadata-only, RAM-purge of plaintext). Zero-day retention enforcement. Data Residency locks (no cross-border plaintext transit). Four-eyes SOC approval workflow for plaintext viewing with cryptographic logging. Employee system tray UI (monitoring disclosure). Works Council approval template documentation. EULA with purpose-limitation clause.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DC2626"/>
                <w:sz w:val="18"/>
                <w:szCs w:val="18"/>
              </w:rPr>
              <w:t xml:space="preserve">M18</w:t>
            </w:r>
          </w:p>
        </w:tc>
        <w:tc>
          <w:tcPr>
            <w:tcW w:type="dxa" w:w="85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0F172A"/>
                <w:sz w:val="18"/>
                <w:szCs w:val="18"/>
              </w:rPr>
              <w:t xml:space="preserve">SIEM/SOAR integrations: Splunk, CrowdStrike Falcon, Datadog webhooks, REST API. Beta rollout to 3–5 design partner enterprises. SLA monitoring, incident response runbooks, and on-call rotation established. GA readiness review.</w:t>
            </w:r>
          </w:p>
        </w:tc>
      </w:tr>
    </w:tbl>
    <w:p>
      <w:pPr>
        <w:spacing w:after="80" w:before="0"/>
      </w:pPr>
    </w:p>
    <w:p>
      <w:pPr>
        <w:spacing w:after="60" w:before="200"/>
      </w:pPr>
      <w:r>
        <w:rPr>
          <w:rFonts w:ascii="Arial" w:cs="Arial" w:eastAsia="Arial" w:hAnsi="Arial"/>
          <w:b/>
          <w:bCs/>
          <w:color w:val="0F172A"/>
          <w:sz w:val="22"/>
          <w:szCs w:val="22"/>
        </w:rPr>
        <w:t xml:space="preserve">Deliverables &amp; Exit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c>
          <w:tcPr>
            <w:tcW w:type="dxa" w:w="3000"/>
            <w:tcBorders>
              <w:top w:val="single" w:color="FFFFFF" w:sz="1"/>
              <w:left w:val="single" w:color="FFFFFF" w:sz="1"/>
              <w:bottom w:val="single" w:color="FFFFFF" w:sz="1"/>
              <w:right w:val="single" w:color="FFFFFF" w:sz="1"/>
            </w:tcBorders>
            <w:shd w:fill="DC2626" w:val="clear"/>
            <w:tcMar>
              <w:top w:type="dxa" w:w="80"/>
              <w:left w:type="dxa" w:w="120"/>
              <w:bottom w:type="dxa" w:w="80"/>
              <w:right w:type="dxa" w:w="80"/>
            </w:tcMar>
          </w:tcPr>
          <w:p>
            <w:r>
              <w:rPr>
                <w:rFonts w:ascii="Arial" w:cs="Arial" w:eastAsia="Arial" w:hAnsi="Arial"/>
                <w:b/>
                <w:bCs/>
                <w:color w:val="FFFFFF"/>
                <w:sz w:val="18"/>
                <w:szCs w:val="18"/>
              </w:rPr>
              <w:t xml:space="preserve">Workstream</w:t>
            </w:r>
          </w:p>
        </w:tc>
        <w:tc>
          <w:tcPr>
            <w:tcW w:type="dxa" w:w="3680"/>
            <w:tcBorders>
              <w:top w:val="single" w:color="FFFFFF" w:sz="1"/>
              <w:left w:val="single" w:color="FFFFFF" w:sz="1"/>
              <w:bottom w:val="single" w:color="FFFFFF" w:sz="1"/>
              <w:right w:val="single" w:color="FFFFFF" w:sz="1"/>
            </w:tcBorders>
            <w:shd w:fill="DC2626" w:val="clear"/>
            <w:tcMar>
              <w:top w:type="dxa" w:w="80"/>
              <w:left w:type="dxa" w:w="80"/>
              <w:bottom w:type="dxa" w:w="80"/>
              <w:right w:type="dxa" w:w="80"/>
            </w:tcMar>
          </w:tcPr>
          <w:p>
            <w:r>
              <w:rPr>
                <w:rFonts w:ascii="Arial" w:cs="Arial" w:eastAsia="Arial" w:hAnsi="Arial"/>
                <w:b/>
                <w:bCs/>
                <w:color w:val="FFFFFF"/>
                <w:sz w:val="18"/>
                <w:szCs w:val="18"/>
              </w:rPr>
              <w:t xml:space="preserve">Key Deliverables</w:t>
            </w:r>
          </w:p>
        </w:tc>
        <w:tc>
          <w:tcPr>
            <w:tcW w:type="dxa" w:w="2680"/>
            <w:tcBorders>
              <w:top w:val="single" w:color="FFFFFF" w:sz="1"/>
              <w:left w:val="single" w:color="FFFFFF" w:sz="1"/>
              <w:bottom w:val="single" w:color="FFFFFF" w:sz="1"/>
              <w:right w:val="single" w:color="FFFFFF" w:sz="1"/>
            </w:tcBorders>
            <w:shd w:fill="DC2626" w:val="clear"/>
            <w:tcMar>
              <w:top w:type="dxa" w:w="80"/>
              <w:left w:type="dxa" w:w="80"/>
              <w:bottom w:type="dxa" w:w="80"/>
              <w:right w:type="dxa" w:w="120"/>
            </w:tcMar>
          </w:tcPr>
          <w:p>
            <w:r>
              <w:rPr>
                <w:rFonts w:ascii="Arial" w:cs="Arial" w:eastAsia="Arial" w:hAnsi="Arial"/>
                <w:b/>
                <w:bCs/>
                <w:color w:val="FFFFFF"/>
                <w:sz w:val="18"/>
                <w:szCs w:val="18"/>
              </w:rPr>
              <w:t xml:space="preserve">Exit Criteria / Gate</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SaaS Backend</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Go/gRPC console + PostgreSQL + ClickHouse + SSO</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1000 simulated agents connected; policy push latency &lt;5s p99</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CISO Dashboard</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Shadow AI matrix, exfiltration metrics, trend analytics</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CISO can identify top-5 Shadow AI tools and data volume blocked in &lt;2 clicks</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SOC Dashboard</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Process graphs, live logs, policy annotations, SIEM push</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SOC engineer identifies process tree for a flagged event within 30 seconds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80"/>
            </w:tcMar>
          </w:tcPr>
          <w:p>
            <w:r>
              <w:rPr>
                <w:rFonts w:ascii="Arial" w:cs="Arial" w:eastAsia="Arial" w:hAnsi="Arial"/>
                <w:b/>
                <w:bCs/>
                <w:color w:val="0F172A"/>
                <w:sz w:val="18"/>
                <w:szCs w:val="18"/>
              </w:rPr>
              <w:t xml:space="preserve">Compliance Mode</w:t>
            </w:r>
          </w:p>
        </w:tc>
        <w:tc>
          <w:tcPr>
            <w:tcW w:type="dxa" w:w="3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8"/>
                <w:szCs w:val="18"/>
              </w:rPr>
              <w:t xml:space="preserve">Audit Mode + data residency + four-eyes workflow + tray UI</w:t>
            </w:r>
          </w:p>
        </w:tc>
        <w:tc>
          <w:tcPr>
            <w:tcW w:type="dxa" w:w="268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20"/>
            </w:tcMar>
          </w:tcPr>
          <w:p>
            <w:r>
              <w:rPr>
                <w:rFonts w:ascii="Arial" w:cs="Arial" w:eastAsia="Arial" w:hAnsi="Arial"/>
                <w:color w:val="64748B"/>
                <w:sz w:val="18"/>
                <w:szCs w:val="18"/>
              </w:rPr>
              <w:t xml:space="preserve">Legal review sign-off from EU and India counsel; Works Council template approved</w:t>
            </w:r>
          </w:p>
        </w:tc>
      </w:tr>
      <w:tr>
        <w:tc>
          <w:tcPr>
            <w:tcW w:type="dxa" w:w="3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80"/>
            </w:tcMar>
          </w:tcPr>
          <w:p>
            <w:r>
              <w:rPr>
                <w:rFonts w:ascii="Arial" w:cs="Arial" w:eastAsia="Arial" w:hAnsi="Arial"/>
                <w:b/>
                <w:bCs/>
                <w:color w:val="0F172A"/>
                <w:sz w:val="18"/>
                <w:szCs w:val="18"/>
              </w:rPr>
              <w:t xml:space="preserve">Beta Rollout</w:t>
            </w:r>
          </w:p>
        </w:tc>
        <w:tc>
          <w:tcPr>
            <w:tcW w:type="dxa" w:w="3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8"/>
                <w:szCs w:val="18"/>
              </w:rPr>
              <w:t xml:space="preserve">3–5 enterprise design partners, incident runbooks, SLAs</w:t>
            </w:r>
          </w:p>
        </w:tc>
        <w:tc>
          <w:tcPr>
            <w:tcW w:type="dxa" w:w="268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20"/>
            </w:tcMar>
          </w:tcPr>
          <w:p>
            <w:r>
              <w:rPr>
                <w:rFonts w:ascii="Arial" w:cs="Arial" w:eastAsia="Arial" w:hAnsi="Arial"/>
                <w:color w:val="64748B"/>
                <w:sz w:val="18"/>
                <w:szCs w:val="18"/>
              </w:rPr>
              <w:t xml:space="preserve">Beta partners go live with zero P0 incidents in first 30 days; GA decision made</w:t>
            </w:r>
          </w:p>
        </w:tc>
      </w:tr>
    </w:tbl>
    <w:p>
      <w:pPr>
        <w:spacing w:after="200" w:before="0"/>
      </w:pPr>
    </w:p>
    <w:p>
      <w:r>
        <w:br w:type="page"/>
      </w:r>
    </w:p>
    <w:p>
      <w:pPr>
        <w:pStyle w:val="Heading1"/>
        <w:spacing w:after="120" w:before="360"/>
      </w:pPr>
      <w:r>
        <w:rPr>
          <w:rFonts w:ascii="Arial" w:cs="Arial" w:eastAsia="Arial" w:hAnsi="Arial"/>
          <w:b/>
          <w:bCs/>
          <w:color w:val="0F172A"/>
          <w:sz w:val="36"/>
          <w:szCs w:val="36"/>
        </w:rPr>
        <w:t xml:space="preserve">Master Timeline — 18-Month Gantt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c>
          <w:tcPr>
            <w:tcW w:type="dxa" w:w="1440"/>
            <w:tcBorders>
              <w:top w:val="single" w:color="D1D5DB" w:sz="1"/>
              <w:left w:val="single" w:color="D1D5DB" w:sz="1"/>
              <w:bottom w:val="single" w:color="D1D5DB" w:sz="1"/>
              <w:right w:val="single" w:color="D1D5DB" w:sz="1"/>
            </w:tcBorders>
            <w:shd w:fill="0F172A" w:val="clear"/>
            <w:tcMar>
              <w:top w:type="dxa" w:w="60"/>
              <w:left w:type="dxa" w:w="80"/>
              <w:bottom w:type="dxa" w:w="60"/>
              <w:right w:type="dxa" w:w="40"/>
            </w:tcMar>
          </w:tcPr>
          <w:p>
            <w:r>
              <w:rPr>
                <w:rFonts w:ascii="Arial" w:cs="Arial" w:eastAsia="Arial" w:hAnsi="Arial"/>
                <w:b/>
                <w:bCs/>
                <w:color w:val="FFFFFF"/>
                <w:sz w:val="16"/>
                <w:szCs w:val="16"/>
              </w:rPr>
              <w:t xml:space="preserve">Phase</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M2</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M3</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M4</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M5</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M6</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M7</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M8</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M9</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M10</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M11</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M12</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M13</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M14</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M15</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M16</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M17</w:t>
            </w:r>
          </w:p>
        </w:tc>
        <w:tc>
          <w:tcPr>
            <w:tcW w:type="dxa" w:w="440"/>
            <w:tcBorders>
              <w:top w:val="single" w:color="D1D5DB" w:sz="1"/>
              <w:left w:val="single" w:color="D1D5DB" w:sz="1"/>
              <w:bottom w:val="single" w:color="D1D5DB" w:sz="1"/>
              <w:right w:val="single" w:color="D1D5DB" w:sz="1"/>
            </w:tcBorders>
            <w:shd w:fill="0F172A" w:val="clear"/>
            <w:tcMar>
              <w:top w:type="dxa" w:w="60"/>
              <w:left w:type="dxa" w:w="20"/>
              <w:bottom w:type="dxa" w:w="60"/>
              <w:right w:type="dxa" w:w="20"/>
            </w:tcMar>
          </w:tcPr>
          <w:p>
            <w:pPr>
              <w:jc w:val="center"/>
            </w:pPr>
            <w:r>
              <w:rPr>
                <w:rFonts w:ascii="Arial" w:cs="Arial" w:eastAsia="Arial" w:hAnsi="Arial"/>
                <w:b/>
                <w:bCs/>
                <w:color w:val="FFFFFF"/>
                <w:sz w:val="14"/>
                <w:szCs w:val="14"/>
              </w:rPr>
              <w:t xml:space="preserve">M18</w:t>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80"/>
              <w:bottom w:type="dxa" w:w="80"/>
              <w:right w:type="dxa" w:w="40"/>
            </w:tcMar>
          </w:tcPr>
          <w:p>
            <w:r>
              <w:rPr>
                <w:rFonts w:ascii="Arial" w:cs="Arial" w:eastAsia="Arial" w:hAnsi="Arial"/>
                <w:b/>
                <w:bCs/>
                <w:color w:val="1A56DB"/>
                <w:sz w:val="16"/>
                <w:szCs w:val="16"/>
              </w:rPr>
              <w:t xml:space="preserve">Phase 1
</w:t>
            </w:r>
          </w:p>
        </w:tc>
        <w:tc>
          <w:tcPr>
            <w:tcW w:type="dxa" w:w="440"/>
            <w:tcBorders>
              <w:top w:val="single" w:color="D1D5DB" w:sz="1"/>
              <w:left w:val="single" w:color="D1D5DB" w:sz="1"/>
              <w:bottom w:val="single" w:color="D1D5DB" w:sz="1"/>
              <w:right w:val="single" w:color="D1D5DB" w:sz="1"/>
            </w:tcBorders>
            <w:shd w:fill="1A56DB"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A56DB"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A56DB"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A56DB"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A56DB"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80"/>
              <w:bottom w:type="dxa" w:w="80"/>
              <w:right w:type="dxa" w:w="40"/>
            </w:tcMar>
          </w:tcPr>
          <w:p>
            <w:r>
              <w:rPr>
                <w:rFonts w:ascii="Arial" w:cs="Arial" w:eastAsia="Arial" w:hAnsi="Arial"/>
                <w:b/>
                <w:bCs/>
                <w:color w:val="16A34A"/>
                <w:sz w:val="16"/>
                <w:szCs w:val="16"/>
              </w:rPr>
              <w:t xml:space="preserve">Phase 2
</w:t>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16A34A"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6A34A"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6A34A"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6A34A"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16A34A"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80"/>
              <w:bottom w:type="dxa" w:w="80"/>
              <w:right w:type="dxa" w:w="40"/>
            </w:tcMar>
          </w:tcPr>
          <w:p>
            <w:r>
              <w:rPr>
                <w:rFonts w:ascii="Arial" w:cs="Arial" w:eastAsia="Arial" w:hAnsi="Arial"/>
                <w:b/>
                <w:bCs/>
                <w:color w:val="D97706"/>
                <w:sz w:val="16"/>
                <w:szCs w:val="16"/>
              </w:rPr>
              <w:t xml:space="preserve">Phase 3
</w:t>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D9770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D9770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D9770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D9770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r>
      <w:tr>
        <w:tc>
          <w:tcPr>
            <w:tcW w:type="dxa" w:w="1440"/>
            <w:tcBorders>
              <w:top w:val="single" w:color="D1D5DB" w:sz="1"/>
              <w:left w:val="single" w:color="D1D5DB" w:sz="1"/>
              <w:bottom w:val="single" w:color="D1D5DB" w:sz="1"/>
              <w:right w:val="single" w:color="D1D5DB" w:sz="1"/>
            </w:tcBorders>
            <w:shd w:fill="F8FAFC" w:val="clear"/>
            <w:tcMar>
              <w:top w:type="dxa" w:w="80"/>
              <w:left w:type="dxa" w:w="80"/>
              <w:bottom w:type="dxa" w:w="80"/>
              <w:right w:type="dxa" w:w="40"/>
            </w:tcMar>
          </w:tcPr>
          <w:p>
            <w:r>
              <w:rPr>
                <w:rFonts w:ascii="Arial" w:cs="Arial" w:eastAsia="Arial" w:hAnsi="Arial"/>
                <w:b/>
                <w:bCs/>
                <w:color w:val="DC2626"/>
                <w:sz w:val="16"/>
                <w:szCs w:val="16"/>
              </w:rPr>
              <w:t xml:space="preserve">Phase 4
</w:t>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F1F5F9" w:val="clear"/>
            <w:tcMar>
              <w:top w:type="dxa" w:w="60"/>
              <w:left w:type="dxa" w:w="20"/>
              <w:bottom w:type="dxa" w:w="60"/>
              <w:right w:type="dxa" w:w="20"/>
            </w:tcMar>
          </w:tcPr>
          <w:p>
            <w:r>
              <w:rPr>
                <w:rFonts w:ascii="Arial" w:cs="Arial" w:eastAsia="Arial" w:hAnsi="Arial"/>
                <w:color w:val="FFFFFF"/>
                <w:sz w:val="16"/>
                <w:szCs w:val="16"/>
              </w:rPr>
              <w:t xml:space="preserve"/>
            </w:r>
          </w:p>
        </w:tc>
        <w:tc>
          <w:tcPr>
            <w:tcW w:type="dxa" w:w="440"/>
            <w:tcBorders>
              <w:top w:val="single" w:color="D1D5DB" w:sz="1"/>
              <w:left w:val="single" w:color="D1D5DB" w:sz="1"/>
              <w:bottom w:val="single" w:color="D1D5DB" w:sz="1"/>
              <w:right w:val="single" w:color="D1D5DB" w:sz="1"/>
            </w:tcBorders>
            <w:shd w:fill="DC262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DC262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DC2626" w:val="clear"/>
            <w:tcMar>
              <w:top w:type="dxa" w:w="60"/>
              <w:left w:type="dxa" w:w="20"/>
              <w:bottom w:type="dxa" w:w="60"/>
              <w:right w:type="dxa" w:w="20"/>
            </w:tcMar>
          </w:tcPr>
          <w:p>
            <w:r>
              <w:rPr>
                <w:rFonts w:ascii="Arial" w:cs="Arial" w:eastAsia="Arial" w:hAnsi="Arial"/>
                <w:color w:val="FFFFFF"/>
                <w:sz w:val="16"/>
                <w:szCs w:val="16"/>
              </w:rPr>
              <w:t xml:space="preserve">▪</w:t>
            </w:r>
          </w:p>
        </w:tc>
        <w:tc>
          <w:tcPr>
            <w:tcW w:type="dxa" w:w="440"/>
            <w:tcBorders>
              <w:top w:val="single" w:color="D1D5DB" w:sz="1"/>
              <w:left w:val="single" w:color="D1D5DB" w:sz="1"/>
              <w:bottom w:val="single" w:color="D1D5DB" w:sz="1"/>
              <w:right w:val="single" w:color="D1D5DB" w:sz="1"/>
            </w:tcBorders>
            <w:shd w:fill="DC2626" w:val="clear"/>
            <w:tcMar>
              <w:top w:type="dxa" w:w="60"/>
              <w:left w:type="dxa" w:w="20"/>
              <w:bottom w:type="dxa" w:w="60"/>
              <w:right w:type="dxa" w:w="20"/>
            </w:tcMar>
          </w:tcPr>
          <w:p>
            <w:r>
              <w:rPr>
                <w:rFonts w:ascii="Arial" w:cs="Arial" w:eastAsia="Arial" w:hAnsi="Arial"/>
                <w:color w:val="FFFFFF"/>
                <w:sz w:val="16"/>
                <w:szCs w:val="16"/>
              </w:rPr>
              <w:t xml:space="preser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800"/>
        <w:gridCol w:w="200"/>
        <w:gridCol w:w="1800"/>
        <w:gridCol w:w="200"/>
        <w:gridCol w:w="1800"/>
        <w:gridCol w:w="200"/>
        <w:gridCol w:w="1800"/>
        <w:gridCol w:w="1360"/>
      </w:tblGrid>
      <w:tr>
        <w:tc>
          <w:tcPr>
            <w:tcW w:type="dxa" w:w="200"/>
            <w:tcBorders>
              <w:top w:val="none" w:color="FFFFFF" w:sz="0"/>
              <w:left w:val="none" w:color="FFFFFF" w:sz="0"/>
              <w:bottom w:val="none" w:color="FFFFFF" w:sz="0"/>
              <w:right w:val="none" w:color="FFFFFF" w:sz="0"/>
            </w:tcBorders>
          </w:tcPr>
          <w:p>
            <w:r>
              <w:rPr>
                <w:rFonts w:ascii="Arial" w:cs="Arial" w:eastAsia="Arial" w:hAnsi="Arial"/>
                <w:color w:val="1A56DB"/>
                <w:sz w:val="20"/>
                <w:szCs w:val="20"/>
              </w:rPr>
              <w:t xml:space="preserve">■</w:t>
            </w:r>
          </w:p>
        </w:tc>
        <w:tc>
          <w:tcPr>
            <w:tcW w:type="dxa" w:w="1800"/>
            <w:tcBorders>
              <w:top w:val="none" w:color="FFFFFF" w:sz="0"/>
              <w:left w:val="none" w:color="FFFFFF" w:sz="0"/>
              <w:bottom w:val="none" w:color="FFFFFF" w:sz="0"/>
              <w:right w:val="none" w:color="FFFFFF" w:sz="0"/>
            </w:tcBorders>
          </w:tcPr>
          <w:p>
            <w:r>
              <w:rPr>
                <w:rFonts w:ascii="Arial" w:cs="Arial" w:eastAsia="Arial" w:hAnsi="Arial"/>
                <w:color w:val="0F172A"/>
                <w:sz w:val="16"/>
                <w:szCs w:val="16"/>
              </w:rPr>
              <w:t xml:space="preserve">Phase 1: Interception</w:t>
            </w:r>
          </w:p>
        </w:tc>
        <w:tc>
          <w:tcPr>
            <w:tcW w:type="dxa" w:w="200"/>
            <w:tcBorders>
              <w:top w:val="none" w:color="FFFFFF" w:sz="0"/>
              <w:left w:val="none" w:color="FFFFFF" w:sz="0"/>
              <w:bottom w:val="none" w:color="FFFFFF" w:sz="0"/>
              <w:right w:val="none" w:color="FFFFFF" w:sz="0"/>
            </w:tcBorders>
          </w:tcPr>
          <w:p>
            <w:r>
              <w:rPr>
                <w:rFonts w:ascii="Arial" w:cs="Arial" w:eastAsia="Arial" w:hAnsi="Arial"/>
                <w:color w:val="16A34A"/>
                <w:sz w:val="20"/>
                <w:szCs w:val="20"/>
              </w:rPr>
              <w:t xml:space="preserve">■</w:t>
            </w:r>
          </w:p>
        </w:tc>
        <w:tc>
          <w:tcPr>
            <w:tcW w:type="dxa" w:w="1800"/>
            <w:tcBorders>
              <w:top w:val="none" w:color="FFFFFF" w:sz="0"/>
              <w:left w:val="none" w:color="FFFFFF" w:sz="0"/>
              <w:bottom w:val="none" w:color="FFFFFF" w:sz="0"/>
              <w:right w:val="none" w:color="FFFFFF" w:sz="0"/>
            </w:tcBorders>
          </w:tcPr>
          <w:p>
            <w:r>
              <w:rPr>
                <w:rFonts w:ascii="Arial" w:cs="Arial" w:eastAsia="Arial" w:hAnsi="Arial"/>
                <w:color w:val="0F172A"/>
                <w:sz w:val="16"/>
                <w:szCs w:val="16"/>
              </w:rPr>
              <w:t xml:space="preserve">Phase 2: ML / Detection</w:t>
            </w:r>
          </w:p>
        </w:tc>
        <w:tc>
          <w:tcPr>
            <w:tcW w:type="dxa" w:w="200"/>
            <w:tcBorders>
              <w:top w:val="none" w:color="FFFFFF" w:sz="0"/>
              <w:left w:val="none" w:color="FFFFFF" w:sz="0"/>
              <w:bottom w:val="none" w:color="FFFFFF" w:sz="0"/>
              <w:right w:val="none" w:color="FFFFFF" w:sz="0"/>
            </w:tcBorders>
          </w:tcPr>
          <w:p>
            <w:r>
              <w:rPr>
                <w:rFonts w:ascii="Arial" w:cs="Arial" w:eastAsia="Arial" w:hAnsi="Arial"/>
                <w:color w:val="D97706"/>
                <w:sz w:val="20"/>
                <w:szCs w:val="20"/>
              </w:rPr>
              <w:t xml:space="preserve">■</w:t>
            </w:r>
          </w:p>
        </w:tc>
        <w:tc>
          <w:tcPr>
            <w:tcW w:type="dxa" w:w="1800"/>
            <w:tcBorders>
              <w:top w:val="none" w:color="FFFFFF" w:sz="0"/>
              <w:left w:val="none" w:color="FFFFFF" w:sz="0"/>
              <w:bottom w:val="none" w:color="FFFFFF" w:sz="0"/>
              <w:right w:val="none" w:color="FFFFFF" w:sz="0"/>
            </w:tcBorders>
          </w:tcPr>
          <w:p>
            <w:r>
              <w:rPr>
                <w:rFonts w:ascii="Arial" w:cs="Arial" w:eastAsia="Arial" w:hAnsi="Arial"/>
                <w:color w:val="0F172A"/>
                <w:sz w:val="16"/>
                <w:szCs w:val="16"/>
              </w:rPr>
              <w:t xml:space="preserve">Phase 3: Enforcement</w:t>
            </w:r>
          </w:p>
        </w:tc>
        <w:tc>
          <w:tcPr>
            <w:tcW w:type="dxa" w:w="200"/>
            <w:tcBorders>
              <w:top w:val="none" w:color="FFFFFF" w:sz="0"/>
              <w:left w:val="none" w:color="FFFFFF" w:sz="0"/>
              <w:bottom w:val="none" w:color="FFFFFF" w:sz="0"/>
              <w:right w:val="none" w:color="FFFFFF" w:sz="0"/>
            </w:tcBorders>
          </w:tcPr>
          <w:p>
            <w:r>
              <w:rPr>
                <w:rFonts w:ascii="Arial" w:cs="Arial" w:eastAsia="Arial" w:hAnsi="Arial"/>
                <w:color w:val="DC2626"/>
                <w:sz w:val="20"/>
                <w:szCs w:val="20"/>
              </w:rPr>
              <w:t xml:space="preserve">■</w:t>
            </w:r>
          </w:p>
        </w:tc>
        <w:tc>
          <w:tcPr>
            <w:tcW w:type="dxa" w:w="1800"/>
            <w:tcBorders>
              <w:top w:val="none" w:color="FFFFFF" w:sz="0"/>
              <w:left w:val="none" w:color="FFFFFF" w:sz="0"/>
              <w:bottom w:val="none" w:color="FFFFFF" w:sz="0"/>
              <w:right w:val="none" w:color="FFFFFF" w:sz="0"/>
            </w:tcBorders>
          </w:tcPr>
          <w:p>
            <w:r>
              <w:rPr>
                <w:rFonts w:ascii="Arial" w:cs="Arial" w:eastAsia="Arial" w:hAnsi="Arial"/>
                <w:color w:val="0F172A"/>
                <w:sz w:val="16"/>
                <w:szCs w:val="16"/>
              </w:rPr>
              <w:t xml:space="preserve">Phase 4: Console &amp; GA</w:t>
            </w:r>
          </w:p>
        </w:tc>
        <w:tc>
          <w:tcPr>
            <w:tcW w:type="dxa" w:w="1360"/>
            <w:tcBorders>
              <w:top w:val="none" w:color="FFFFFF" w:sz="0"/>
              <w:left w:val="none" w:color="FFFFFF" w:sz="0"/>
              <w:bottom w:val="none" w:color="FFFFFF" w:sz="0"/>
              <w:right w:val="none" w:color="FFFFFF" w:sz="0"/>
            </w:tcBorders>
          </w:tcPr>
          <w:p>
            <w:r>
              <w:rPr>
                <w:rFonts w:ascii="Arial" w:cs="Arial" w:eastAsia="Arial" w:hAnsi="Arial"/>
                <w:sz w:val="16"/>
                <w:szCs w:val="16"/>
              </w:rPr>
              <w:t xml:space="preserve"/>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6"/>
        <w:szCs w:val="16"/>
      </w:rPr>
      <w:t xml:space="preserve">PromptRail — Phase-Wise Implementation Timeline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2026-06-28T16:53:54.612Z</dcterms:created>
  <dcterms:modified xsi:type="dcterms:W3CDTF">2026-06-28T16:53:54.624Z</dcterms:modified>
</cp:coreProperties>
</file>

<file path=docProps/custom.xml><?xml version="1.0" encoding="utf-8"?>
<Properties xmlns="http://schemas.openxmlformats.org/officeDocument/2006/custom-properties" xmlns:vt="http://schemas.openxmlformats.org/officeDocument/2006/docPropsVTypes"/>
</file>