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400"/>
              <w:left w:type="dxa" w:w="480"/>
              <w:bottom w:type="dxa" w:w="400"/>
              <w:right w:type="dxa" w:w="480"/>
            </w:tcMar>
          </w:tcPr>
          <w:p>
            <w:pPr>
              <w:spacing w:after="80"/>
            </w:pPr>
            <w:r>
              <w:rPr>
                <w:rFonts w:ascii="Arial" w:cs="Arial" w:eastAsia="Arial" w:hAnsi="Arial"/>
                <w:b/>
                <w:bCs/>
                <w:color w:val="93C5FD"/>
                <w:spacing w:val="200"/>
                <w:sz w:val="20"/>
                <w:szCs w:val="20"/>
              </w:rPr>
              <w:t xml:space="preserve">PROMPTRAIL</w:t>
            </w:r>
          </w:p>
          <w:p>
            <w:pPr>
              <w:spacing w:after="120"/>
            </w:pPr>
            <w:r>
              <w:rPr>
                <w:rFonts w:ascii="Arial" w:cs="Arial" w:eastAsia="Arial" w:hAnsi="Arial"/>
                <w:b/>
                <w:bCs/>
                <w:color w:val="FFFFFF"/>
                <w:sz w:val="44"/>
                <w:szCs w:val="44"/>
              </w:rPr>
              <w:t xml:space="preserve">Technology Stack Reference</w:t>
            </w:r>
          </w:p>
          <w:p>
            <w:pPr>
              <w:spacing w:after="40"/>
            </w:pPr>
            <w:r>
              <w:rPr>
                <w:rFonts w:ascii="Arial" w:cs="Arial" w:eastAsia="Arial" w:hAnsi="Arial"/>
                <w:color w:val="94A3B8"/>
                <w:sz w:val="22"/>
                <w:szCs w:val="22"/>
              </w:rPr>
              <w:t xml:space="preserve">Complete Engineering Stack  •  v1.3</w:t>
            </w:r>
          </w:p>
          <w:p>
            <w:pPr>
              <w:spacing w:after="0"/>
            </w:pPr>
            <w:r>
              <w:rPr>
                <w:rFonts w:ascii="Arial" w:cs="Arial" w:eastAsia="Arial" w:hAnsi="Arial"/>
                <w:color w:val="64748B"/>
                <w:sz w:val="20"/>
                <w:szCs w:val="20"/>
              </w:rPr>
              <w:t xml:space="preserve">Enterprise Shadow AI Detection &amp; Prevention</w:t>
            </w:r>
          </w:p>
        </w:tc>
      </w:tr>
    </w:tbl>
    <w:p>
      <w:pPr>
        <w:spacing w:after="240" w:before="0"/>
      </w:pPr>
    </w:p>
    <w:p>
      <w:pPr>
        <w:pStyle w:val="Heading1"/>
        <w:spacing w:after="120" w:before="360"/>
      </w:pPr>
      <w:r>
        <w:rPr>
          <w:rFonts w:ascii="Arial" w:cs="Arial" w:eastAsia="Arial" w:hAnsi="Arial"/>
          <w:b/>
          <w:bCs/>
          <w:color w:val="0F172A"/>
          <w:sz w:val="36"/>
          <w:szCs w:val="36"/>
        </w:rPr>
        <w:t xml:space="preserve">Architecture Overview</w:t>
      </w:r>
    </w:p>
    <w:p>
      <w:pPr>
        <w:spacing w:after="80" w:before="40" w:line="288" w:lineRule="auto"/>
      </w:pPr>
      <w:r>
        <w:rPr>
          <w:rFonts w:ascii="Arial" w:cs="Arial" w:eastAsia="Arial" w:hAnsi="Arial"/>
          <w:color w:val="0F172A"/>
          <w:sz w:val="20"/>
          <w:szCs w:val="20"/>
        </w:rPr>
        <w:t xml:space="preserve">PromptRail is a multi-tier system spanning OS-level kernel agents, on-device ML inference, a cloud SaaS control plane, and enterprise integrations. The stack is selected to maximise memory safety, minimise endpoint footprint, and maintain strict cross-platform consistency. This document is the canonical reference for every technology, library, framework, and external dependency used across the full system.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80"/>
            </w:tcMar>
          </w:tcPr>
          <w:p>
            <w:r>
              <w:rPr>
                <w:rFonts w:ascii="Arial" w:cs="Arial" w:eastAsia="Arial" w:hAnsi="Arial"/>
                <w:b/>
                <w:bCs/>
                <w:color w:val="FFFFFF"/>
                <w:sz w:val="19"/>
                <w:szCs w:val="19"/>
              </w:rPr>
              <w:t xml:space="preserve">Endpoint Agents</w:t>
            </w:r>
          </w:p>
        </w:tc>
        <w:tc>
          <w:tcPr>
            <w:tcW w:type="dxa" w:w="7160"/>
            <w:tcBorders>
              <w:top w:val="single" w:color="D1D5DB" w:sz="1"/>
              <w:left w:val="single" w:color="D1D5DB" w:sz="1"/>
              <w:bottom w:val="single" w:color="D1D5DB" w:sz="1"/>
              <w:right w:val="single" w:color="D1D5DB" w:sz="1"/>
            </w:tcBorders>
            <w:shd w:fill="F8FAFC" w:val="clear"/>
            <w:tcMar>
              <w:top w:type="dxa" w:w="100"/>
              <w:left w:type="dxa" w:w="120"/>
              <w:bottom w:type="dxa" w:w="100"/>
              <w:right w:type="dxa" w:w="80"/>
            </w:tcMar>
          </w:tcPr>
          <w:p>
            <w:r>
              <w:rPr>
                <w:rFonts w:ascii="Arial" w:cs="Arial" w:eastAsia="Arial" w:hAnsi="Arial"/>
                <w:color w:val="0F172A"/>
                <w:sz w:val="19"/>
                <w:szCs w:val="19"/>
              </w:rPr>
              <w:t xml:space="preserve">Rust/Aya (Linux), C++/C# (Windows), Swift (macOS)</w:t>
            </w:r>
          </w:p>
        </w:tc>
      </w:tr>
      <w:tr>
        <w:tc>
          <w:tcPr>
            <w:tcW w:type="dxa" w:w="2200"/>
            <w:tcBorders>
              <w:top w:val="single" w:color="D1D5DB" w:sz="1"/>
              <w:left w:val="single" w:color="D1D5DB" w:sz="1"/>
              <w:bottom w:val="single" w:color="D1D5DB" w:sz="1"/>
              <w:right w:val="single" w:color="D1D5DB" w:sz="1"/>
            </w:tcBorders>
            <w:shd w:fill="16A34A" w:val="clear"/>
            <w:tcMar>
              <w:top w:type="dxa" w:w="100"/>
              <w:left w:type="dxa" w:w="120"/>
              <w:bottom w:type="dxa" w:w="100"/>
              <w:right w:type="dxa" w:w="80"/>
            </w:tcMar>
          </w:tcPr>
          <w:p>
            <w:r>
              <w:rPr>
                <w:rFonts w:ascii="Arial" w:cs="Arial" w:eastAsia="Arial" w:hAnsi="Arial"/>
                <w:b/>
                <w:bCs/>
                <w:color w:val="FFFFFF"/>
                <w:sz w:val="19"/>
                <w:szCs w:val="19"/>
              </w:rPr>
              <w:t xml:space="preserve">ML Inference</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80"/>
            </w:tcMar>
          </w:tcPr>
          <w:p>
            <w:r>
              <w:rPr>
                <w:rFonts w:ascii="Arial" w:cs="Arial" w:eastAsia="Arial" w:hAnsi="Arial"/>
                <w:color w:val="0F172A"/>
                <w:sz w:val="19"/>
                <w:szCs w:val="19"/>
              </w:rPr>
              <w:t xml:space="preserve">ONNX Runtime · BERT-Lite · JA4+ · Shannon Entropy</w:t>
            </w:r>
          </w:p>
        </w:tc>
      </w:tr>
      <w:tr>
        <w:tc>
          <w:tcPr>
            <w:tcW w:type="dxa" w:w="2200"/>
            <w:tcBorders>
              <w:top w:val="single" w:color="D1D5DB" w:sz="1"/>
              <w:left w:val="single" w:color="D1D5DB" w:sz="1"/>
              <w:bottom w:val="single" w:color="D1D5DB" w:sz="1"/>
              <w:right w:val="single" w:color="D1D5DB" w:sz="1"/>
            </w:tcBorders>
            <w:shd w:fill="D97706" w:val="clear"/>
            <w:tcMar>
              <w:top w:type="dxa" w:w="100"/>
              <w:left w:type="dxa" w:w="120"/>
              <w:bottom w:type="dxa" w:w="100"/>
              <w:right w:type="dxa" w:w="80"/>
            </w:tcMar>
          </w:tcPr>
          <w:p>
            <w:r>
              <w:rPr>
                <w:rFonts w:ascii="Arial" w:cs="Arial" w:eastAsia="Arial" w:hAnsi="Arial"/>
                <w:b/>
                <w:bCs/>
                <w:color w:val="FFFFFF"/>
                <w:sz w:val="19"/>
                <w:szCs w:val="19"/>
              </w:rPr>
              <w:t xml:space="preserve">Security &amp; Crypto</w:t>
            </w:r>
          </w:p>
        </w:tc>
        <w:tc>
          <w:tcPr>
            <w:tcW w:type="dxa" w:w="7160"/>
            <w:tcBorders>
              <w:top w:val="single" w:color="D1D5DB" w:sz="1"/>
              <w:left w:val="single" w:color="D1D5DB" w:sz="1"/>
              <w:bottom w:val="single" w:color="D1D5DB" w:sz="1"/>
              <w:right w:val="single" w:color="D1D5DB" w:sz="1"/>
            </w:tcBorders>
            <w:shd w:fill="F8FAFC" w:val="clear"/>
            <w:tcMar>
              <w:top w:type="dxa" w:w="100"/>
              <w:left w:type="dxa" w:w="120"/>
              <w:bottom w:type="dxa" w:w="100"/>
              <w:right w:type="dxa" w:w="80"/>
            </w:tcMar>
          </w:tcPr>
          <w:p>
            <w:r>
              <w:rPr>
                <w:rFonts w:ascii="Arial" w:cs="Arial" w:eastAsia="Arial" w:hAnsi="Arial"/>
                <w:color w:val="0F172A"/>
                <w:sz w:val="19"/>
                <w:szCs w:val="19"/>
              </w:rPr>
              <w:t xml:space="preserve">TPM 2.0 · FIDO2/YubiKey · AES-256-GCM · TLS 1.3</w:t>
            </w:r>
          </w:p>
        </w:tc>
      </w:tr>
      <w:tr>
        <w:tc>
          <w:tcPr>
            <w:tcW w:type="dxa" w:w="2200"/>
            <w:tcBorders>
              <w:top w:val="single" w:color="D1D5DB" w:sz="1"/>
              <w:left w:val="single" w:color="D1D5DB" w:sz="1"/>
              <w:bottom w:val="single" w:color="D1D5DB" w:sz="1"/>
              <w:right w:val="single" w:color="D1D5DB" w:sz="1"/>
            </w:tcBorders>
            <w:shd w:fill="7C3AED" w:val="clear"/>
            <w:tcMar>
              <w:top w:type="dxa" w:w="100"/>
              <w:left w:type="dxa" w:w="120"/>
              <w:bottom w:type="dxa" w:w="100"/>
              <w:right w:type="dxa" w:w="80"/>
            </w:tcMar>
          </w:tcPr>
          <w:p>
            <w:r>
              <w:rPr>
                <w:rFonts w:ascii="Arial" w:cs="Arial" w:eastAsia="Arial" w:hAnsi="Arial"/>
                <w:b/>
                <w:bCs/>
                <w:color w:val="FFFFFF"/>
                <w:sz w:val="19"/>
                <w:szCs w:val="19"/>
              </w:rPr>
              <w:t xml:space="preserve">Cloud Backend</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80"/>
            </w:tcMar>
          </w:tcPr>
          <w:p>
            <w:r>
              <w:rPr>
                <w:rFonts w:ascii="Arial" w:cs="Arial" w:eastAsia="Arial" w:hAnsi="Arial"/>
                <w:color w:val="0F172A"/>
                <w:sz w:val="19"/>
                <w:szCs w:val="19"/>
              </w:rPr>
              <w:t xml:space="preserve">Go (gRPC) · PostgreSQL · ClickHouse</w:t>
            </w:r>
          </w:p>
        </w:tc>
      </w:tr>
      <w:tr>
        <w:tc>
          <w:tcPr>
            <w:tcW w:type="dxa" w:w="2200"/>
            <w:tcBorders>
              <w:top w:val="single" w:color="D1D5DB" w:sz="1"/>
              <w:left w:val="single" w:color="D1D5DB" w:sz="1"/>
              <w:bottom w:val="single" w:color="D1D5DB" w:sz="1"/>
              <w:right w:val="single" w:color="D1D5DB" w:sz="1"/>
            </w:tcBorders>
            <w:shd w:fill="0D9488" w:val="clear"/>
            <w:tcMar>
              <w:top w:type="dxa" w:w="100"/>
              <w:left w:type="dxa" w:w="120"/>
              <w:bottom w:type="dxa" w:w="100"/>
              <w:right w:type="dxa" w:w="80"/>
            </w:tcMar>
          </w:tcPr>
          <w:p>
            <w:r>
              <w:rPr>
                <w:rFonts w:ascii="Arial" w:cs="Arial" w:eastAsia="Arial" w:hAnsi="Arial"/>
                <w:b/>
                <w:bCs/>
                <w:color w:val="FFFFFF"/>
                <w:sz w:val="19"/>
                <w:szCs w:val="19"/>
              </w:rPr>
              <w:t xml:space="preserve">Frontend Console</w:t>
            </w:r>
          </w:p>
        </w:tc>
        <w:tc>
          <w:tcPr>
            <w:tcW w:type="dxa" w:w="7160"/>
            <w:tcBorders>
              <w:top w:val="single" w:color="D1D5DB" w:sz="1"/>
              <w:left w:val="single" w:color="D1D5DB" w:sz="1"/>
              <w:bottom w:val="single" w:color="D1D5DB" w:sz="1"/>
              <w:right w:val="single" w:color="D1D5DB" w:sz="1"/>
            </w:tcBorders>
            <w:shd w:fill="F8FAFC" w:val="clear"/>
            <w:tcMar>
              <w:top w:type="dxa" w:w="100"/>
              <w:left w:type="dxa" w:w="120"/>
              <w:bottom w:type="dxa" w:w="100"/>
              <w:right w:type="dxa" w:w="80"/>
            </w:tcMar>
          </w:tcPr>
          <w:p>
            <w:r>
              <w:rPr>
                <w:rFonts w:ascii="Arial" w:cs="Arial" w:eastAsia="Arial" w:hAnsi="Arial"/>
                <w:color w:val="0F172A"/>
                <w:sz w:val="19"/>
                <w:szCs w:val="19"/>
              </w:rPr>
              <w:t xml:space="preserve">React · TypeScript · Tailwind CSS</w:t>
            </w:r>
          </w:p>
        </w:tc>
      </w:tr>
      <w:tr>
        <w:tc>
          <w:tcPr>
            <w:tcW w:type="dxa" w:w="2200"/>
            <w:tcBorders>
              <w:top w:val="single" w:color="D1D5DB" w:sz="1"/>
              <w:left w:val="single" w:color="D1D5DB" w:sz="1"/>
              <w:bottom w:val="single" w:color="D1D5DB" w:sz="1"/>
              <w:right w:val="single" w:color="D1D5DB" w:sz="1"/>
            </w:tcBorders>
            <w:shd w:fill="DC2626" w:val="clear"/>
            <w:tcMar>
              <w:top w:type="dxa" w:w="100"/>
              <w:left w:type="dxa" w:w="120"/>
              <w:bottom w:type="dxa" w:w="100"/>
              <w:right w:type="dxa" w:w="80"/>
            </w:tcMar>
          </w:tcPr>
          <w:p>
            <w:r>
              <w:rPr>
                <w:rFonts w:ascii="Arial" w:cs="Arial" w:eastAsia="Arial" w:hAnsi="Arial"/>
                <w:b/>
                <w:bCs/>
                <w:color w:val="FFFFFF"/>
                <w:sz w:val="19"/>
                <w:szCs w:val="19"/>
              </w:rPr>
              <w:t xml:space="preserve">Enterprise Integrations</w:t>
            </w:r>
          </w:p>
        </w:tc>
        <w:tc>
          <w:tcPr>
            <w:tcW w:type="dxa" w:w="716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80"/>
            </w:tcMar>
          </w:tcPr>
          <w:p>
            <w:r>
              <w:rPr>
                <w:rFonts w:ascii="Arial" w:cs="Arial" w:eastAsia="Arial" w:hAnsi="Arial"/>
                <w:color w:val="0F172A"/>
                <w:sz w:val="19"/>
                <w:szCs w:val="19"/>
              </w:rPr>
              <w:t xml:space="preserve">SAML 2.0 · OIDC · Splunk · CrowdStrike · Datadog</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200"/>
              <w:left w:type="dxa" w:w="280"/>
              <w:bottom w:type="dxa" w:w="200"/>
              <w:right w:type="dxa" w:w="280"/>
            </w:tcMar>
          </w:tcPr>
          <w:p>
            <w:pPr>
              <w:spacing w:after="40"/>
            </w:pPr>
            <w:r>
              <w:rPr>
                <w:rFonts w:ascii="Arial" w:cs="Arial" w:eastAsia="Arial" w:hAnsi="Arial"/>
                <w:b/>
                <w:bCs/>
                <w:color w:val="FFFFFF"/>
                <w:sz w:val="28"/>
                <w:szCs w:val="28"/>
              </w:rPr>
              <w:t xml:space="preserve">Section 1 — Endpoint Agent Stack</w:t>
            </w:r>
          </w:p>
          <w:p>
            <w:pPr>
              <w:spacing w:after="0"/>
            </w:pPr>
            <w:r>
              <w:rPr>
                <w:rFonts w:ascii="Arial" w:cs="Arial" w:eastAsia="Arial" w:hAnsi="Arial"/>
                <w:color w:val="CBD5E1"/>
                <w:sz w:val="18"/>
                <w:szCs w:val="18"/>
              </w:rPr>
              <w:t xml:space="preserve">Linux · Windows · macOS interception engines and OS-level security frameworks</w:t>
            </w:r>
          </w:p>
        </w:tc>
      </w:tr>
    </w:tbl>
    <w:p>
      <w:pPr>
        <w:spacing w:after="120" w:before="0"/>
      </w:pPr>
    </w:p>
    <w:p>
      <w:pPr>
        <w:pStyle w:val="Heading2"/>
        <w:pBdr>
          <w:bottom w:val="single" w:color="1A56DB" w:sz="4" w:space="4"/>
        </w:pBdr>
        <w:spacing w:after="80" w:before="280"/>
      </w:pPr>
      <w:r>
        <w:rPr>
          <w:rFonts w:ascii="Arial" w:cs="Arial" w:eastAsia="Arial" w:hAnsi="Arial"/>
          <w:b/>
          <w:bCs/>
          <w:color w:val="1A56DB"/>
          <w:sz w:val="26"/>
          <w:szCs w:val="26"/>
        </w:rPr>
        <w:t xml:space="preserve">1.1  Linux Agent</w:t>
      </w:r>
    </w:p>
    <w:p>
      <w:pPr>
        <w:spacing w:after="80" w:before="40" w:line="288" w:lineRule="auto"/>
      </w:pPr>
      <w:r>
        <w:rPr>
          <w:rFonts w:ascii="Arial" w:cs="Arial" w:eastAsia="Arial" w:hAnsi="Arial"/>
          <w:color w:val="0F172A"/>
          <w:sz w:val="20"/>
          <w:szCs w:val="20"/>
        </w:rPr>
        <w:t xml:space="preserve">The Linux agent is written entirely in Rust using the Aya eBPF library. This choice allows both the kernel-space eBPF probes and the userspace daemon to share a single codebase, type system, and toolchain, eliminating the traditional C/Python split found in libbpf-based solutions.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360"/>
        <w:gridCol w:w="1600"/>
      </w:tblGrid>
      <w:tr>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Component</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Technology</w:t>
            </w:r>
          </w:p>
        </w:tc>
        <w:tc>
          <w:tcPr>
            <w:tcW w:type="dxa" w:w="22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Version / Spec</w:t>
            </w:r>
          </w:p>
        </w:tc>
        <w:tc>
          <w:tcPr>
            <w:tcW w:type="dxa" w:w="236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Why This Choice</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Phase Introduced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Core Language</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Rust</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Stable 1.75+</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Memory safety without GC; zero-cost abstractions for kernel boundary code</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eBPF Framework</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Aya</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0.12+</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Pure-Rust eBPF: kernel probes and userspace daemon in one language and repo</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uprobe Target</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OpenSSL</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libssl.so (1.1.x, 3.x)</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Primary TLS library for curl, Python requests, most Linux CLIs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uprobe Target</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BoringSSL</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Dynamic offset via ELF/DWARF</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Used by Chrome, Electron, VS Code, Go CLI tools; stripped symbols resolved at spawn</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uprobe Target</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GnuTLS / NSS</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libgnutls.so / libnss3.so</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Firefox on Linux; some system utilities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QUIC Block</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eBPF XDP</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XDP driver/generic mode</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Drop UDP/443 at NIC driver level before kernel TCP stack; forces HTTP/2 fallback</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Loopback Monitor</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eBPF tc / XDP</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lo interface, tc classifier</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Captures traffic to local LLM servers (Ollama :11434, LM Studio :1234)</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IPC Transport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BPF Ring Buffer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Kernel 5.8+</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Low-latency, lock-free payload delivery from eBPF probe to userspace daemon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Config Store</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SQLite (AES-256)</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SQLite 3.x + AES-GCM envelope</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Local policy vault; encrypted key sealed in TPM 2.0 NVRAM</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MAC Hardening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SELinux / AppArmor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distro-dependent</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Restricts which processes can read BPF maps or signal the PromptRail daemon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TPM Attestation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tpm2-tools / TSS2</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TPM 2.0 (TrouSerS2 / ibmtss)</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PCR extension at boot; AIK-signed Quote sent to cloud console for verification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WSL2 Companion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Rust (same agent)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Minimal build, named-pipe IPC</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Deployed into WSL2 VM; telemetry tunnelled to Windows host via Unix socket</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1</w:t>
            </w:r>
          </w:p>
        </w:tc>
      </w:tr>
    </w:tbl>
    <w:p>
      <w:pPr>
        <w:spacing w:after="120" w:before="0"/>
      </w:pPr>
    </w:p>
    <w:p>
      <w:pPr>
        <w:pStyle w:val="Heading2"/>
        <w:pBdr>
          <w:bottom w:val="single" w:color="1A56DB" w:sz="4" w:space="4"/>
        </w:pBdr>
        <w:spacing w:after="80" w:before="280"/>
      </w:pPr>
      <w:r>
        <w:rPr>
          <w:rFonts w:ascii="Arial" w:cs="Arial" w:eastAsia="Arial" w:hAnsi="Arial"/>
          <w:b/>
          <w:bCs/>
          <w:color w:val="1A56DB"/>
          <w:sz w:val="26"/>
          <w:szCs w:val="26"/>
        </w:rPr>
        <w:t xml:space="preserve">1.2  Windows Agent</w:t>
      </w:r>
    </w:p>
    <w:p>
      <w:pPr>
        <w:spacing w:after="80" w:before="40" w:line="288" w:lineRule="auto"/>
      </w:pPr>
      <w:r>
        <w:rPr>
          <w:rFonts w:ascii="Arial" w:cs="Arial" w:eastAsia="Arial" w:hAnsi="Arial"/>
          <w:color w:val="0F172A"/>
          <w:sz w:val="20"/>
          <w:szCs w:val="20"/>
        </w:rPr>
        <w:t xml:space="preserve">The Windows agent uses a two-layer architecture: a C++ kernel-mode WFP callout driver for network interception and an ELAM driver for boot-time protection, orchestrated by a C# .NET Core userspace service that handles policy evaluation, ML inference, and cloud communication.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360"/>
        <w:gridCol w:w="1600"/>
      </w:tblGrid>
      <w:tr>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Component</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Technology</w:t>
            </w:r>
          </w:p>
        </w:tc>
        <w:tc>
          <w:tcPr>
            <w:tcW w:type="dxa" w:w="22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Version / Spec</w:t>
            </w:r>
          </w:p>
        </w:tc>
        <w:tc>
          <w:tcPr>
            <w:tcW w:type="dxa" w:w="236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Why This Choice</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Phase Introduced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Kernel Driver Lang</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C++</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MSVC / WDK (Windows 11 SDK)</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Required for kernel-mode WFP callout; .NET cannot run in kernel mode</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Network Framework</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WFP</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FWPM_LAYER_ALE_AUTH_CONNECT_REDIRECT_V4</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ALE redirect to loopback proxy; weight set above VPN TAP/TUN drivers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Boot Protection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ELAM Driver</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Early Launch AM minifilter</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Ensures PromptRail services start before third-party applications at boot</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File Protection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Minifilter Driver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FltRegisterFilter (IFS Kit)</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Kernel-level deny of write/delete on PromptRail binaries from any non-updater PID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Process Protection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PPL</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Protected Process Light (WinTCB)</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Blocks Task Manager kill; prevents thread injection from SYSTEM-level processes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TLS Inspection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Local Proxy</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C# / System.Net.Http + cert gen</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Performs TLS termination on redirected flows; presents per-session ephemeral cert</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Cert Trust</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Windows Cert Store</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CertAddCertificateContextToStore</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Injects PromptRail root CA; auto-removed on uninstall</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DLL Detour</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Detours (optional)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Microsoft Detours 4.0</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Fallback for apps that bypass WFP (non-SChannel); not used for sandboxed browsers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Orchestrator Lang</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C# / .NET Core</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.NET 8 LTS</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Userspace policy engine, ML inference host, gRPC agent connection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QUIC Block</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WFP UDP Filter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FWPM_LAYER_ALE_AUTH_CONNECT_V4</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Drops UDP/443 for all processes; forces Google/OpenAI SDKs to HTTP/2</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Loopback Monitor</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WFP Loopback</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FWP_CONDITION_FLAG_IS_LOOPBACK</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Applies DLP rules to local AI servers on known ports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Config Store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SQLite (AES-256)</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Keys in TPM 2.0 (BCryptOpenAlgorithmProvider)</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Offline-capable policy vault; keys irrecoverable without TPM</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TPM Attestation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TPM 2.0 (Windows)</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BCrypt + TPM Base Services (TBS)</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PCR measurements at agent load; AIK Quote verified by cloud console</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Break-Glass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FIDO2 / WebAuthn</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YubiKey 5 NFC (CISO-held)</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Emergency offline uninstall; event written to WORM log on re-connection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bl>
    <w:p>
      <w:pPr>
        <w:spacing w:after="120" w:before="0"/>
      </w:pPr>
    </w:p>
    <w:p>
      <w:pPr>
        <w:pStyle w:val="Heading2"/>
        <w:pBdr>
          <w:bottom w:val="single" w:color="1A56DB" w:sz="4" w:space="4"/>
        </w:pBdr>
        <w:spacing w:after="80" w:before="280"/>
      </w:pPr>
      <w:r>
        <w:rPr>
          <w:rFonts w:ascii="Arial" w:cs="Arial" w:eastAsia="Arial" w:hAnsi="Arial"/>
          <w:b/>
          <w:bCs/>
          <w:color w:val="1A56DB"/>
          <w:sz w:val="26"/>
          <w:szCs w:val="26"/>
        </w:rPr>
        <w:t xml:space="preserve">1.3  macOS Agent</w:t>
      </w:r>
    </w:p>
    <w:p>
      <w:pPr>
        <w:spacing w:after="80" w:before="40" w:line="288" w:lineRule="auto"/>
      </w:pPr>
      <w:r>
        <w:rPr>
          <w:rFonts w:ascii="Arial" w:cs="Arial" w:eastAsia="Arial" w:hAnsi="Arial"/>
          <w:color w:val="0F172A"/>
          <w:sz w:val="20"/>
          <w:szCs w:val="20"/>
        </w:rPr>
        <w:t xml:space="preserve">The macOS agent is written entirely in Swift, using Apple's modern system extension APIs. Kernel extensions (kexts) are explicitly avoided — they require lowered SIP and are being phased out by Apple. The Network Extension and Endpoint Security frameworks provide equivalent capability with full Notarization support.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360"/>
        <w:gridCol w:w="1600"/>
      </w:tblGrid>
      <w:tr>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Component</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Technology</w:t>
            </w:r>
          </w:p>
        </w:tc>
        <w:tc>
          <w:tcPr>
            <w:tcW w:type="dxa" w:w="22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Version / Spec</w:t>
            </w:r>
          </w:p>
        </w:tc>
        <w:tc>
          <w:tcPr>
            <w:tcW w:type="dxa" w:w="236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Why This Choice</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Phase Introduced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Core Language</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Swift</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Swift 5.9+ (Xcode 15+)</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Native Apple-endorsed language for NetworkExtension and EndpointSecurity APIs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Network Intercept</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NETransparentProxyProvider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Network Extension Framework</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Intercepts all NWConnection flows in userspace; no SIP lowering needed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Process Identity</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Auditing Token</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NE native API</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Cryptographically-verified process signature per intercepted flow</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Anti-Tamper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ES Framework</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ES_EVENT_TYPE_AUTH_SIGNAL</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Intercepts SIGTERM / kill -9 directed at PromptRail PID; denies unauthorized kills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File Protection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ES Framework</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ES_EVENT_TYPE_AUTH_UNLINK</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Denies deletion of agent app bundle and plists by non-updater processes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Key Storage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Secure Enclave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CryptoKit / SecKey</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Encryption keys for local policy vault stored in hardware Secure Enclave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Notarization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Apple Notary Service</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Gatekeeper hardened runtime</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Required for system extension distribution; submitted in Phase 1, M5</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Config Store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SQLite (AES-256)</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Keys in Secure Enclave</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Same vault architecture as Linux/Windows; Secure Enclave replaces TPM on Apple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A34A" w:val="clear"/>
            <w:tcMar>
              <w:top w:type="dxa" w:w="200"/>
              <w:left w:type="dxa" w:w="280"/>
              <w:bottom w:type="dxa" w:w="200"/>
              <w:right w:type="dxa" w:w="280"/>
            </w:tcMar>
          </w:tcPr>
          <w:p>
            <w:pPr>
              <w:spacing w:after="40"/>
            </w:pPr>
            <w:r>
              <w:rPr>
                <w:rFonts w:ascii="Arial" w:cs="Arial" w:eastAsia="Arial" w:hAnsi="Arial"/>
                <w:b/>
                <w:bCs/>
                <w:color w:val="FFFFFF"/>
                <w:sz w:val="28"/>
                <w:szCs w:val="28"/>
              </w:rPr>
              <w:t xml:space="preserve">Section 2 — Machine Learning &amp; Classification Stack</w:t>
            </w:r>
          </w:p>
          <w:p>
            <w:pPr>
              <w:spacing w:after="0"/>
            </w:pPr>
            <w:r>
              <w:rPr>
                <w:rFonts w:ascii="Arial" w:cs="Arial" w:eastAsia="Arial" w:hAnsi="Arial"/>
                <w:color w:val="CBD5E1"/>
                <w:sz w:val="18"/>
                <w:szCs w:val="18"/>
              </w:rPr>
              <w:t xml:space="preserve">JA4+ fingerprinting · BERT-Lite NLP · gRPC detection · Adversarial evasion defences</w:t>
            </w:r>
          </w:p>
        </w:tc>
      </w:tr>
    </w:tbl>
    <w:p>
      <w:pPr>
        <w:spacing w:after="120" w:before="0"/>
      </w:pPr>
    </w:p>
    <w:p>
      <w:pPr>
        <w:pStyle w:val="Heading2"/>
        <w:pBdr>
          <w:bottom w:val="single" w:color="16A34A" w:sz="4" w:space="4"/>
        </w:pBdr>
        <w:spacing w:after="80" w:before="280"/>
      </w:pPr>
      <w:r>
        <w:rPr>
          <w:rFonts w:ascii="Arial" w:cs="Arial" w:eastAsia="Arial" w:hAnsi="Arial"/>
          <w:b/>
          <w:bCs/>
          <w:color w:val="16A34A"/>
          <w:sz w:val="26"/>
          <w:szCs w:val="26"/>
        </w:rPr>
        <w:t xml:space="preserve">2.1  Layer 1 — Encrypted Traffic Analysis</w:t>
      </w:r>
    </w:p>
    <w:p>
      <w:pPr>
        <w:spacing w:after="80" w:before="40" w:line="288" w:lineRule="auto"/>
      </w:pPr>
      <w:r>
        <w:rPr>
          <w:rFonts w:ascii="Arial" w:cs="Arial" w:eastAsia="Arial" w:hAnsi="Arial"/>
          <w:color w:val="0F172A"/>
          <w:sz w:val="20"/>
          <w:szCs w:val="20"/>
        </w:rPr>
        <w:t xml:space="preserve">Layer 1 classifies flows before decryption, using only transport-layer metadata. Two complementary techniques are used: deterministic TLS fingerprinting (JA4+) and a trained neural network for flow behavioural analysis.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360"/>
        <w:gridCol w:w="1600"/>
      </w:tblGrid>
      <w:tr>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Component</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Technology</w:t>
            </w:r>
          </w:p>
        </w:tc>
        <w:tc>
          <w:tcPr>
            <w:tcW w:type="dxa" w:w="22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Version / Spec</w:t>
            </w:r>
          </w:p>
        </w:tc>
        <w:tc>
          <w:tcPr>
            <w:tcW w:type="dxa" w:w="236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Why This Choice</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Phase Introduced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TLS Fingerprinting</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JA4+</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FoxIO JA4+ open spec (2023)</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Client app identification from ClientHello without decryption; evasion-resistant</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Flow Classifier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Neural Network</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Custom ONNX model, ~1.5MB</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Packet size distribution, inter-arrival timing, byte-ratio asymmetry features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gRPC Detection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HTTP/2 Frame Parser</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Custom Rust/C# parser</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Detects Content-Type: application/grpc; long-lived stream lifetime heuristics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Training Data</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Custom Dataset</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~500K AI flows + 1M normal flows</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Labelled from OpenAI, Anthropic, Gemini, Vertex, Bedrock, Ollama captures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Inference Runtime</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ONNX Runtime</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v1.17+ (C++ bindings)</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Cross-platform; &lt;2MB binary; &lt;3ms inference; runs on x86_64 and ARM64</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2</w:t>
            </w:r>
          </w:p>
        </w:tc>
      </w:tr>
    </w:tbl>
    <w:p>
      <w:pPr>
        <w:spacing w:after="120" w:before="0"/>
      </w:pPr>
    </w:p>
    <w:p>
      <w:pPr>
        <w:pStyle w:val="Heading2"/>
        <w:pBdr>
          <w:bottom w:val="single" w:color="16A34A" w:sz="4" w:space="4"/>
        </w:pBdr>
        <w:spacing w:after="80" w:before="280"/>
      </w:pPr>
      <w:r>
        <w:rPr>
          <w:rFonts w:ascii="Arial" w:cs="Arial" w:eastAsia="Arial" w:hAnsi="Arial"/>
          <w:b/>
          <w:bCs/>
          <w:color w:val="16A34A"/>
          <w:sz w:val="26"/>
          <w:szCs w:val="26"/>
        </w:rPr>
        <w:t xml:space="preserve">2.2  Layer 2 — On-Device NLP and DLP</w:t>
      </w:r>
    </w:p>
    <w:p>
      <w:pPr>
        <w:spacing w:after="80" w:before="40" w:line="288" w:lineRule="auto"/>
      </w:pPr>
      <w:r>
        <w:rPr>
          <w:rFonts w:ascii="Arial" w:cs="Arial" w:eastAsia="Arial" w:hAnsi="Arial"/>
          <w:color w:val="0F172A"/>
          <w:sz w:val="20"/>
          <w:szCs w:val="20"/>
        </w:rPr>
        <w:t xml:space="preserve">Layer 2 operates on the decrypted plaintext payload. It combines a schema-matching engine for known AI APIs with a quantized NLP model for semantic DLP analysis and an entropy analysis module for adversarial evasion detection.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360"/>
        <w:gridCol w:w="1600"/>
      </w:tblGrid>
      <w:tr>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Component</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Technology</w:t>
            </w:r>
          </w:p>
        </w:tc>
        <w:tc>
          <w:tcPr>
            <w:tcW w:type="dxa" w:w="22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Version / Spec</w:t>
            </w:r>
          </w:p>
        </w:tc>
        <w:tc>
          <w:tcPr>
            <w:tcW w:type="dxa" w:w="236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Why This Choice</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Phase Introduced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NLP Model</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BERT-Lite</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~2M params; ~10MB ONNX (INT8 quant)</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Fine-tuned on PII/code/IP/PHI corpus; 30MB inference RAM; sub-20ms latency</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Inference Runtime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ONNX Runtime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v1.17+ (same binary as L1)</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Model and runtime bundled in agent; no cloud call required for inference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Schema Matching</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Custom JSON Parser</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Rust serde_json / C# System.Text.Json</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Identifies known OpenAI/Anthropic/Gemini/Bedrock request structures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gRPC DLP</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protobuf Parser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prost (Rust) / Google.Protobuf (C#)</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Deconstructs Vertex AI and Bedrock gRPC payload for DLP scanning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Entropy Analysis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Shannon Entropy</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Custom module (Rust/C#)</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Detects Base64, hex, ROT13 obfuscated payloads; policy toggle for block mode</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Retraining Pipeline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Cloud MLOps</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Anonymised flagged payload upload</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Feeds periodic model refresh cycle; PII stripped before upload</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2</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Model Distribution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Signed Update</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Asymmetric key (offline root CA)</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Model updates signed by offline private key; agent verifies before install</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97706" w:val="clear"/>
            <w:tcMar>
              <w:top w:type="dxa" w:w="200"/>
              <w:left w:type="dxa" w:w="280"/>
              <w:bottom w:type="dxa" w:w="200"/>
              <w:right w:type="dxa" w:w="280"/>
            </w:tcMar>
          </w:tcPr>
          <w:p>
            <w:pPr>
              <w:spacing w:after="40"/>
            </w:pPr>
            <w:r>
              <w:rPr>
                <w:rFonts w:ascii="Arial" w:cs="Arial" w:eastAsia="Arial" w:hAnsi="Arial"/>
                <w:b/>
                <w:bCs/>
                <w:color w:val="FFFFFF"/>
                <w:sz w:val="28"/>
                <w:szCs w:val="28"/>
              </w:rPr>
              <w:t xml:space="preserve">Section 3 — Security, Cryptography &amp; Hardening Stack</w:t>
            </w:r>
          </w:p>
          <w:p>
            <w:pPr>
              <w:spacing w:after="0"/>
            </w:pPr>
            <w:r>
              <w:rPr>
                <w:rFonts w:ascii="Arial" w:cs="Arial" w:eastAsia="Arial" w:hAnsi="Arial"/>
                <w:color w:val="CBD5E1"/>
                <w:sz w:val="18"/>
                <w:szCs w:val="18"/>
              </w:rPr>
              <w:t xml:space="preserve">TPM 2.0 · FIDO2 · AES-256-GCM · Anti-tamper OS integrations</w:t>
            </w:r>
          </w:p>
        </w:tc>
      </w:tr>
    </w:tbl>
    <w:p>
      <w:pPr>
        <w:spacing w:after="120" w:before="0"/>
      </w:pPr>
    </w:p>
    <w:p>
      <w:pPr>
        <w:pStyle w:val="Heading2"/>
        <w:pBdr>
          <w:bottom w:val="single" w:color="D97706" w:sz="4" w:space="4"/>
        </w:pBdr>
        <w:spacing w:after="80" w:before="280"/>
      </w:pPr>
      <w:r>
        <w:rPr>
          <w:rFonts w:ascii="Arial" w:cs="Arial" w:eastAsia="Arial" w:hAnsi="Arial"/>
          <w:b/>
          <w:bCs/>
          <w:color w:val="D97706"/>
          <w:sz w:val="26"/>
          <w:szCs w:val="26"/>
        </w:rPr>
        <w:t xml:space="preserve">3.1  Cryptographic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360"/>
        <w:gridCol w:w="1600"/>
      </w:tblGrid>
      <w:tr>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Component</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Technology</w:t>
            </w:r>
          </w:p>
        </w:tc>
        <w:tc>
          <w:tcPr>
            <w:tcW w:type="dxa" w:w="22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Version / Spec</w:t>
            </w:r>
          </w:p>
        </w:tc>
        <w:tc>
          <w:tcPr>
            <w:tcW w:type="dxa" w:w="236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Why This Choice</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Phase Introduced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Symmetric Encryption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AES-256-GCM</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OS-native (OpenSSL / BCrypt / CryptoKit)</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Local policy vault, telemetry cache encryption; authenticated encryption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Key Storage (Linux)</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TPM 2.0 NVRAM</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tpm2-tools / libtss2</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Seals AES keys into TPM; keys bound to PCR values and platform identity</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Key Storage (Windows)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TPM 2.0 TBS</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BCryptOpenAlgorithmProvider (MS)</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Same model as Linux; keys accessed via Windows TPM Base Services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Key Storage (macOS)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Secure Enclave</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CryptoKit SecKey (Apple Silicon + T2)</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Hardware-isolated key; operations performed inside Enclave, key never exported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Remote Attestation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TPM Quote</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AIK + PCR extension (TPM 2.0 spec)</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Cloud verifies signed Quote; any agent binary change invalidates PCR values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Update Signing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RSA-4096</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Offline root CA (air-gapped HSM)</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Policy and model updates signed offline; public key hardcoded in agent binary</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Transport (agent→cloud)</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TLS 1.3</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Certificate pinned to PromptRail CA</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Mutual TLS on gRPC streams; no unencrypted telemetry path</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1</w:t>
            </w:r>
          </w:p>
        </w:tc>
      </w:tr>
    </w:tbl>
    <w:p>
      <w:pPr>
        <w:spacing w:after="120" w:before="0"/>
      </w:pPr>
    </w:p>
    <w:p>
      <w:pPr>
        <w:pStyle w:val="Heading2"/>
        <w:pBdr>
          <w:bottom w:val="single" w:color="D97706" w:sz="4" w:space="4"/>
        </w:pBdr>
        <w:spacing w:after="80" w:before="280"/>
      </w:pPr>
      <w:r>
        <w:rPr>
          <w:rFonts w:ascii="Arial" w:cs="Arial" w:eastAsia="Arial" w:hAnsi="Arial"/>
          <w:b/>
          <w:bCs/>
          <w:color w:val="D97706"/>
          <w:sz w:val="26"/>
          <w:szCs w:val="26"/>
        </w:rPr>
        <w:t xml:space="preserve">3.2  Anti-Tamper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360"/>
        <w:gridCol w:w="1600"/>
      </w:tblGrid>
      <w:tr>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Component</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Technology</w:t>
            </w:r>
          </w:p>
        </w:tc>
        <w:tc>
          <w:tcPr>
            <w:tcW w:type="dxa" w:w="22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Version / Spec</w:t>
            </w:r>
          </w:p>
        </w:tc>
        <w:tc>
          <w:tcPr>
            <w:tcW w:type="dxa" w:w="236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Why This Choice</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Phase Introduced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Windows PPL</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Protected Process Light</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WinTCB level</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Blocks Task Manager, Process Hacker, and SYSTEM-level injection into agent</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Windows ELAM</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Early Launch AM Driver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Minifilter (WDM)</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PromptRail wins boot race; loads before any third-party driver or process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Windows File Guard</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Minifilter Driver</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FltRegisterFilter</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Denies write/delete/rename on agent binaries from any non-updater process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macOS SIGTERM Block</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Endpoint Security</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ES_EVENT_TYPE_AUTH_SIGNAL</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Denies kill signals (including kill -9) directed at PromptRail PID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macOS File Guard</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Endpoint Security</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ES_EVENT_TYPE_AUTH_UNLINK</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Denies removal of agent app bundle or config plists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Linux MAC</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SELinux / AppArmor</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Custom policy profiles</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Restricts BPF map access; confines daemon filesystem and network permissions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Break-Glass Auth</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FIDO2 / YubiKey</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WebAuthn (CTAP2 / FIDO2)</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Hardware key held by CISO; required for offline emergency uninstall</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Audit Log</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WORM Storage</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Append-only local log + cloud sync</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Break-glass events written immutably; synced to cloud on reconnect</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Integrity Heartbeat</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TPM Quote</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AIK-signed, verified by console</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Replaces self-reported software hash; forgery requires physical TPM compromise</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3</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C3AED" w:val="clear"/>
            <w:tcMar>
              <w:top w:type="dxa" w:w="200"/>
              <w:left w:type="dxa" w:w="280"/>
              <w:bottom w:type="dxa" w:w="200"/>
              <w:right w:type="dxa" w:w="280"/>
            </w:tcMar>
          </w:tcPr>
          <w:p>
            <w:pPr>
              <w:spacing w:after="40"/>
            </w:pPr>
            <w:r>
              <w:rPr>
                <w:rFonts w:ascii="Arial" w:cs="Arial" w:eastAsia="Arial" w:hAnsi="Arial"/>
                <w:b/>
                <w:bCs/>
                <w:color w:val="FFFFFF"/>
                <w:sz w:val="28"/>
                <w:szCs w:val="28"/>
              </w:rPr>
              <w:t xml:space="preserve">Section 4 — Cloud Backend &amp; Data Infrastructure</w:t>
            </w:r>
          </w:p>
          <w:p>
            <w:pPr>
              <w:spacing w:after="0"/>
            </w:pPr>
            <w:r>
              <w:rPr>
                <w:rFonts w:ascii="Arial" w:cs="Arial" w:eastAsia="Arial" w:hAnsi="Arial"/>
                <w:color w:val="CBD5E1"/>
                <w:sz w:val="18"/>
                <w:szCs w:val="18"/>
              </w:rPr>
              <w:t xml:space="preserve">Go · gRPC · PostgreSQL · ClickHouse · identity federation</w:t>
            </w:r>
          </w:p>
        </w:tc>
      </w:tr>
    </w:tbl>
    <w:p>
      <w:pPr>
        <w:spacing w:after="120" w:before="0"/>
      </w:pPr>
    </w:p>
    <w:p>
      <w:pPr>
        <w:pStyle w:val="Heading2"/>
        <w:pBdr>
          <w:bottom w:val="single" w:color="7C3AED" w:sz="4" w:space="4"/>
        </w:pBdr>
        <w:spacing w:after="80" w:before="280"/>
      </w:pPr>
      <w:r>
        <w:rPr>
          <w:rFonts w:ascii="Arial" w:cs="Arial" w:eastAsia="Arial" w:hAnsi="Arial"/>
          <w:b/>
          <w:bCs/>
          <w:color w:val="7C3AED"/>
          <w:sz w:val="26"/>
          <w:szCs w:val="26"/>
        </w:rPr>
        <w:t xml:space="preserve">4.1  Backend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360"/>
        <w:gridCol w:w="1600"/>
      </w:tblGrid>
      <w:tr>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Component</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Technology</w:t>
            </w:r>
          </w:p>
        </w:tc>
        <w:tc>
          <w:tcPr>
            <w:tcW w:type="dxa" w:w="22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Version / Spec</w:t>
            </w:r>
          </w:p>
        </w:tc>
        <w:tc>
          <w:tcPr>
            <w:tcW w:type="dxa" w:w="236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Why This Choice</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Phase Introduced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API / RPC Layer</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Go (Golang)</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Go 1.22+</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Goroutine concurrency model handles millions of persistent agent gRPC streams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Agent Protocol</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gRPC + Protobuf</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gRPC 1.62+ / protobuf 3</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Bidirectional streaming for heartbeat, telemetry, and policy distribution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1</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Auth / SSO</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SAML 2.0 + OIDC</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Go SAML (crewjam/saml) / coreos/go-oidc</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Okta, Microsoft Entra ID, Ping Identity integration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Policy Signing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RSA-4096 (offline)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Air-gapped signing service</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Policies signed before distribution; agent verifies before applying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Secrets Mgmt</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HashiCorp Vault</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Vault OSS / Enterprise</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Backend secrets, DB credentials, signing key references (not the key itself)</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Container Runtime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Docker / Kubernetes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K8s 1.29+ on managed cloud</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Backend SaaS deployed as K8s microservices; horizontal scaling for telemetry lane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4</w:t>
            </w:r>
          </w:p>
        </w:tc>
      </w:tr>
    </w:tbl>
    <w:p>
      <w:pPr>
        <w:spacing w:after="120" w:before="0"/>
      </w:pPr>
    </w:p>
    <w:p>
      <w:pPr>
        <w:pStyle w:val="Heading2"/>
        <w:pBdr>
          <w:bottom w:val="single" w:color="7C3AED" w:sz="4" w:space="4"/>
        </w:pBdr>
        <w:spacing w:after="80" w:before="280"/>
      </w:pPr>
      <w:r>
        <w:rPr>
          <w:rFonts w:ascii="Arial" w:cs="Arial" w:eastAsia="Arial" w:hAnsi="Arial"/>
          <w:b/>
          <w:bCs/>
          <w:color w:val="7C3AED"/>
          <w:sz w:val="26"/>
          <w:szCs w:val="26"/>
        </w:rPr>
        <w:t xml:space="preserve">4.2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360"/>
        <w:gridCol w:w="1600"/>
      </w:tblGrid>
      <w:tr>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Component</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Technology</w:t>
            </w:r>
          </w:p>
        </w:tc>
        <w:tc>
          <w:tcPr>
            <w:tcW w:type="dxa" w:w="22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Version / Spec</w:t>
            </w:r>
          </w:p>
        </w:tc>
        <w:tc>
          <w:tcPr>
            <w:tcW w:type="dxa" w:w="236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Why This Choice</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Phase Introduced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Relational DB</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PostgreSQL</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PostgreSQL 16+</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Entities: users, orgs, policies, RBAC roles, agent registrations, audit log</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Analytics DB</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ClickHouse</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ClickHouse 24.x</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High-throughput ingestion of telemetry events (billions of rows); columnar queries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DB Migrations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golang-migrate</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github.com/golang-migrate/migrate</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Versioned, reproducible schema migrations with rollback support</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Policy Cache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Redis</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Redis 7+</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Hot-path policy lookup cache; TTL-based invalidation on policy push</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Blob Storage</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S3-compatible</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AWS S3 / GCS / MinIO</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ML model distribution artifacts; signed update packages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2</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200"/>
              <w:left w:type="dxa" w:w="280"/>
              <w:bottom w:type="dxa" w:w="200"/>
              <w:right w:type="dxa" w:w="280"/>
            </w:tcMar>
          </w:tcPr>
          <w:p>
            <w:pPr>
              <w:spacing w:after="40"/>
            </w:pPr>
            <w:r>
              <w:rPr>
                <w:rFonts w:ascii="Arial" w:cs="Arial" w:eastAsia="Arial" w:hAnsi="Arial"/>
                <w:b/>
                <w:bCs/>
                <w:color w:val="FFFFFF"/>
                <w:sz w:val="28"/>
                <w:szCs w:val="28"/>
              </w:rPr>
              <w:t xml:space="preserve">Section 5 — Frontend SaaS Console</w:t>
            </w:r>
          </w:p>
          <w:p>
            <w:pPr>
              <w:spacing w:after="0"/>
            </w:pPr>
            <w:r>
              <w:rPr>
                <w:rFonts w:ascii="Arial" w:cs="Arial" w:eastAsia="Arial" w:hAnsi="Arial"/>
                <w:color w:val="CBD5E1"/>
                <w:sz w:val="18"/>
                <w:szCs w:val="18"/>
              </w:rPr>
              <w:t xml:space="preserve">React · TypeScript · Tailwind CSS · SIEM/SOAR integrations</w:t>
            </w:r>
          </w:p>
        </w:tc>
      </w:tr>
    </w:tbl>
    <w:p>
      <w:pPr>
        <w:spacing w:after="120" w:before="0"/>
      </w:pPr>
    </w:p>
    <w:p>
      <w:pPr>
        <w:pStyle w:val="Heading2"/>
        <w:pBdr>
          <w:bottom w:val="single" w:color="0D9488" w:sz="4" w:space="4"/>
        </w:pBdr>
        <w:spacing w:after="80" w:before="280"/>
      </w:pPr>
      <w:r>
        <w:rPr>
          <w:rFonts w:ascii="Arial" w:cs="Arial" w:eastAsia="Arial" w:hAnsi="Arial"/>
          <w:b/>
          <w:bCs/>
          <w:color w:val="0D9488"/>
          <w:sz w:val="26"/>
          <w:szCs w:val="26"/>
        </w:rPr>
        <w:t xml:space="preserve">5.1  Web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360"/>
        <w:gridCol w:w="1600"/>
      </w:tblGrid>
      <w:tr>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Component</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Technology</w:t>
            </w:r>
          </w:p>
        </w:tc>
        <w:tc>
          <w:tcPr>
            <w:tcW w:type="dxa" w:w="22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Version / Spec</w:t>
            </w:r>
          </w:p>
        </w:tc>
        <w:tc>
          <w:tcPr>
            <w:tcW w:type="dxa" w:w="236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Why This Choice</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Phase Introduced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UI Framework</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React</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React 18 + Vite</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Component model suits complex CISO/SOC dashboard layouts; large ecosystem</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Language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TypeScript</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TypeScript 5.x (strict mode)</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Type safety across API contracts and dashboard state; catches policy schema drift</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Styling</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Tailwind CSS</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Tailwind 3.x</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Utility-first; consistent design tokens; no runtime CSS-in-JS overhead</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Data Visualisation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Recharts / D3.js</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Recharts 2.x + D3 v7</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Trend charts (CISO), process attribution network graphs (SOC), heat maps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Real-Time Logs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WebSocket</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gRPC-Web or native WS</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Live flow log stream from backend to SOC dashboard with &lt;1s latency</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State Management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Zustand</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Zustand 4.x</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Lightweight; avoids Redux boilerplate for policy edit and live log state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API Client</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tRPC / REST</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tRPC or OpenAPI-generated client</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Type-safe API calls from frontend to Go backend; schema shared via Protobuf</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bl>
    <w:p>
      <w:pPr>
        <w:spacing w:after="120" w:before="0"/>
      </w:pPr>
    </w:p>
    <w:p>
      <w:pPr>
        <w:pStyle w:val="Heading2"/>
        <w:pBdr>
          <w:bottom w:val="single" w:color="0D9488" w:sz="4" w:space="4"/>
        </w:pBdr>
        <w:spacing w:after="80" w:before="280"/>
      </w:pPr>
      <w:r>
        <w:rPr>
          <w:rFonts w:ascii="Arial" w:cs="Arial" w:eastAsia="Arial" w:hAnsi="Arial"/>
          <w:b/>
          <w:bCs/>
          <w:color w:val="0D9488"/>
          <w:sz w:val="26"/>
          <w:szCs w:val="26"/>
        </w:rPr>
        <w:t xml:space="preserve">5.2  Enterprise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2360"/>
        <w:gridCol w:w="1600"/>
      </w:tblGrid>
      <w:tr>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Component</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Technology</w:t>
            </w:r>
          </w:p>
        </w:tc>
        <w:tc>
          <w:tcPr>
            <w:tcW w:type="dxa" w:w="22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Version / Spec</w:t>
            </w:r>
          </w:p>
        </w:tc>
        <w:tc>
          <w:tcPr>
            <w:tcW w:type="dxa" w:w="236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Why This Choice</w:t>
            </w:r>
          </w:p>
        </w:tc>
        <w:tc>
          <w:tcPr>
            <w:tcW w:type="dxa" w:w="1600"/>
            <w:tcBorders>
              <w:top w:val="none" w:color="FFFFFF" w:sz="0"/>
              <w:left w:val="none" w:color="FFFFFF" w:sz="0"/>
              <w:bottom w:val="none" w:color="FFFFFF" w:sz="0"/>
              <w:right w:val="none" w:color="FFFFFF" w:sz="0"/>
            </w:tcBorders>
            <w:shd w:fill="0F172A" w:val="clear"/>
            <w:tcMar>
              <w:top w:type="dxa" w:w="90"/>
              <w:left w:type="dxa" w:w="100"/>
              <w:bottom w:type="dxa" w:w="90"/>
              <w:right w:type="dxa" w:w="80"/>
            </w:tcMar>
          </w:tcPr>
          <w:p>
            <w:r>
              <w:rPr>
                <w:rFonts w:ascii="Arial" w:cs="Arial" w:eastAsia="Arial" w:hAnsi="Arial"/>
                <w:b/>
                <w:bCs/>
                <w:color w:val="FFFFFF"/>
                <w:sz w:val="17"/>
                <w:szCs w:val="17"/>
              </w:rPr>
              <w:t xml:space="preserve">Phase Introduced</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SIEM</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Splunk</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HTTP Event Collector (HEC)</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Push DLP alerts and Shadow AI events into Splunk for correlation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XDR/EDR</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CrowdStrike Falcon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Falcon LogScale / Webhook</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PromptRail events enriched with endpoint threat context from CrowdStrike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Observability</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Datadog</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Datadog Agent + Log Forwarding</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Infrastructure metrics and DLP event pipeline monitoring</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Webhook / API</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REST + Webhooks</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OpenAPI 3.x spec</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Generic integration surface for SOAR platforms (Palo Alto XSOAR, Swimlane)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IdP — SSO</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Okta / Entra ID</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SAML 2.0 + OIDC</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Console user authentication; group claims map to RBAC roles in PromptRail</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4</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80"/>
            </w:tcMar>
          </w:tcPr>
          <w:p>
            <w:r>
              <w:rPr>
                <w:rFonts w:ascii="Arial" w:cs="Arial" w:eastAsia="Arial" w:hAnsi="Arial"/>
                <w:b/>
                <w:bCs/>
                <w:color w:val="0F172A"/>
                <w:sz w:val="17"/>
                <w:szCs w:val="17"/>
              </w:rPr>
              <w:t xml:space="preserve">MDM (Browser Mgmt)</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b/>
                <w:bCs/>
                <w:color w:val="1A56DB"/>
                <w:sz w:val="17"/>
                <w:szCs w:val="17"/>
              </w:rPr>
              <w:t xml:space="preserve">Microsoft Intune</w:t>
            </w:r>
          </w:p>
        </w:tc>
        <w:tc>
          <w:tcPr>
            <w:tcW w:type="dxa" w:w="22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64748B"/>
                <w:sz w:val="17"/>
                <w:szCs w:val="17"/>
              </w:rPr>
              <w:t xml:space="preserve">Chrome Enterprise JSON policy</w:t>
            </w:r>
          </w:p>
        </w:tc>
        <w:tc>
          <w:tcPr>
            <w:tcW w:type="dxa" w:w="2360"/>
            <w:tcBorders>
              <w:top w:val="single" w:color="D1D5DB" w:sz="1"/>
              <w:left w:val="single" w:color="D1D5DB" w:sz="1"/>
              <w:bottom w:val="single" w:color="D1D5DB" w:sz="1"/>
              <w:right w:val="single" w:color="D1D5DB" w:sz="1"/>
            </w:tcBorders>
            <w:shd w:fill="FFFFFF" w:val="clear"/>
            <w:tcMar>
              <w:top w:type="dxa" w:w="80"/>
              <w:left w:type="dxa" w:w="80"/>
              <w:bottom w:type="dxa" w:w="80"/>
              <w:right w:type="dxa" w:w="80"/>
            </w:tcMar>
          </w:tcPr>
          <w:p>
            <w:r>
              <w:rPr>
                <w:rFonts w:ascii="Arial" w:cs="Arial" w:eastAsia="Arial" w:hAnsi="Arial"/>
                <w:color w:val="0F172A"/>
                <w:sz w:val="17"/>
                <w:szCs w:val="17"/>
              </w:rPr>
              <w:t xml:space="preserve">Browser allowlist + ProxySettings distributed to managed Windows/macOS endpoints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80"/>
              <w:bottom w:type="dxa" w:w="80"/>
              <w:right w:type="dxa" w:w="100"/>
            </w:tcMar>
          </w:tcPr>
          <w:p>
            <w:r>
              <w:rPr>
                <w:rFonts w:ascii="Arial" w:cs="Arial" w:eastAsia="Arial" w:hAnsi="Arial"/>
                <w:color w:val="64748B"/>
                <w:sz w:val="17"/>
                <w:szCs w:val="17"/>
              </w:rPr>
              <w:t xml:space="preserve">Phase 3</w:t>
            </w:r>
          </w:p>
        </w:tc>
      </w:tr>
      <w:tr>
        <w:tc>
          <w:tcPr>
            <w:tcW w:type="dxa" w:w="1600"/>
            <w:tcBorders>
              <w:top w:val="single" w:color="D1D5DB" w:sz="1"/>
              <w:left w:val="single" w:color="D1D5DB" w:sz="1"/>
              <w:bottom w:val="single" w:color="D1D5DB" w:sz="1"/>
              <w:right w:val="single" w:color="D1D5DB" w:sz="1"/>
            </w:tcBorders>
            <w:shd w:fill="F8FAFC" w:val="clear"/>
            <w:tcMar>
              <w:top w:type="dxa" w:w="80"/>
              <w:left w:type="dxa" w:w="100"/>
              <w:bottom w:type="dxa" w:w="80"/>
              <w:right w:type="dxa" w:w="80"/>
            </w:tcMar>
          </w:tcPr>
          <w:p>
            <w:r>
              <w:rPr>
                <w:rFonts w:ascii="Arial" w:cs="Arial" w:eastAsia="Arial" w:hAnsi="Arial"/>
                <w:b/>
                <w:bCs/>
                <w:color w:val="0F172A"/>
                <w:sz w:val="17"/>
                <w:szCs w:val="17"/>
              </w:rPr>
              <w:t xml:space="preserve">MDM (macOS)</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b/>
                <w:bCs/>
                <w:color w:val="1A56DB"/>
                <w:sz w:val="17"/>
                <w:szCs w:val="17"/>
              </w:rPr>
              <w:t xml:space="preserve">Jamf Pro</w:t>
            </w:r>
          </w:p>
        </w:tc>
        <w:tc>
          <w:tcPr>
            <w:tcW w:type="dxa" w:w="22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64748B"/>
                <w:sz w:val="17"/>
                <w:szCs w:val="17"/>
              </w:rPr>
              <w:t xml:space="preserve">MDM profile + NEP entitlement</w:t>
            </w:r>
          </w:p>
        </w:tc>
        <w:tc>
          <w:tcPr>
            <w:tcW w:type="dxa" w:w="2360"/>
            <w:tcBorders>
              <w:top w:val="single" w:color="D1D5DB" w:sz="1"/>
              <w:left w:val="single" w:color="D1D5DB" w:sz="1"/>
              <w:bottom w:val="single" w:color="D1D5DB" w:sz="1"/>
              <w:right w:val="single" w:color="D1D5DB" w:sz="1"/>
            </w:tcBorders>
            <w:shd w:fill="F8FAFC" w:val="clear"/>
            <w:tcMar>
              <w:top w:type="dxa" w:w="80"/>
              <w:left w:type="dxa" w:w="80"/>
              <w:bottom w:type="dxa" w:w="80"/>
              <w:right w:type="dxa" w:w="80"/>
            </w:tcMar>
          </w:tcPr>
          <w:p>
            <w:r>
              <w:rPr>
                <w:rFonts w:ascii="Arial" w:cs="Arial" w:eastAsia="Arial" w:hAnsi="Arial"/>
                <w:color w:val="0F172A"/>
                <w:sz w:val="17"/>
                <w:szCs w:val="17"/>
              </w:rPr>
              <w:t xml:space="preserve">Distributes Network Extension entitlement and PromptRail System Extension</w:t>
            </w:r>
          </w:p>
        </w:tc>
        <w:tc>
          <w:tcPr>
            <w:tcW w:type="dxa" w:w="1600"/>
            <w:tcBorders>
              <w:top w:val="single" w:color="D1D5DB" w:sz="1"/>
              <w:left w:val="single" w:color="D1D5DB" w:sz="1"/>
              <w:bottom w:val="single" w:color="D1D5DB" w:sz="1"/>
              <w:right w:val="single" w:color="D1D5DB" w:sz="1"/>
            </w:tcBorders>
            <w:shd w:fill="F8FAFC" w:val="clear"/>
            <w:tcMar>
              <w:top w:type="dxa" w:w="80"/>
              <w:left w:type="dxa" w:w="80"/>
              <w:bottom w:type="dxa" w:w="80"/>
              <w:right w:type="dxa" w:w="100"/>
            </w:tcMar>
          </w:tcPr>
          <w:p>
            <w:r>
              <w:rPr>
                <w:rFonts w:ascii="Arial" w:cs="Arial" w:eastAsia="Arial" w:hAnsi="Arial"/>
                <w:color w:val="64748B"/>
                <w:sz w:val="17"/>
                <w:szCs w:val="17"/>
              </w:rPr>
              <w:t xml:space="preserve">Phase 1</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151" w:val="clear"/>
            <w:tcMar>
              <w:top w:type="dxa" w:w="200"/>
              <w:left w:type="dxa" w:w="280"/>
              <w:bottom w:type="dxa" w:w="200"/>
              <w:right w:type="dxa" w:w="280"/>
            </w:tcMar>
          </w:tcPr>
          <w:p>
            <w:pPr>
              <w:spacing w:after="40"/>
            </w:pPr>
            <w:r>
              <w:rPr>
                <w:rFonts w:ascii="Arial" w:cs="Arial" w:eastAsia="Arial" w:hAnsi="Arial"/>
                <w:b/>
                <w:bCs/>
                <w:color w:val="FFFFFF"/>
                <w:sz w:val="28"/>
                <w:szCs w:val="28"/>
              </w:rPr>
              <w:t xml:space="preserve">Section 6 — Key Open-Source Dependencies</w:t>
            </w:r>
          </w:p>
          <w:p>
            <w:pPr>
              <w:spacing w:after="0"/>
            </w:pPr>
            <w:r>
              <w:rPr>
                <w:rFonts w:ascii="Arial" w:cs="Arial" w:eastAsia="Arial" w:hAnsi="Arial"/>
                <w:color w:val="CBD5E1"/>
                <w:sz w:val="18"/>
                <w:szCs w:val="18"/>
              </w:rPr>
              <w:t xml:space="preserve">Critical third-party libraries across all components</w:t>
            </w:r>
          </w:p>
        </w:tc>
      </w:tr>
    </w:tbl>
    <w:p>
      <w:pPr>
        <w:spacing w:after="120" w:before="0"/>
      </w:pPr>
    </w:p>
    <w:p>
      <w:pPr>
        <w:pStyle w:val="Heading2"/>
        <w:pBdr>
          <w:bottom w:val="single" w:color="374151" w:sz="4" w:space="4"/>
        </w:pBdr>
        <w:spacing w:after="80" w:before="280"/>
      </w:pPr>
      <w:r>
        <w:rPr>
          <w:rFonts w:ascii="Arial" w:cs="Arial" w:eastAsia="Arial" w:hAnsi="Arial"/>
          <w:b/>
          <w:bCs/>
          <w:color w:val="374151"/>
          <w:sz w:val="26"/>
          <w:szCs w:val="26"/>
        </w:rPr>
        <w:t xml:space="preserve">6.1  Linux / Rust Agent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3000"/>
      </w:tblGrid>
      <w:tr>
        <w:tc>
          <w:tcPr>
            <w:tcW w:type="dxa" w:w="22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Library / Package</w:t>
            </w:r>
          </w:p>
        </w:tc>
        <w:tc>
          <w:tcPr>
            <w:tcW w:type="dxa" w:w="18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Language</w:t>
            </w:r>
          </w:p>
        </w:tc>
        <w:tc>
          <w:tcPr>
            <w:tcW w:type="dxa" w:w="236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Purpose</w:t>
            </w:r>
          </w:p>
        </w:tc>
        <w:tc>
          <w:tcPr>
            <w:tcW w:type="dxa" w:w="30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Notes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aya</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Rust</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eBPF kernel probe framework</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Pure-Rust eBPF; no libbpf C dependency needed</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aya-log</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Rust</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Structured logging from eBPF probes</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Bridges kernel eBPF log output to userspace tracing subscriber</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tokio</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Rust</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Async runtime for userspace daemon</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Powers the gRPC agent connection and payload processing pipeline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tonic</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Rust</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gRPC client for cloud console connection</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Generated from shared .proto files; mutual TLS configured</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serde / serde_json</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Rust</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JSON serialisation for payload parsing</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Used by Layer 2 schema matcher for AI API request structures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prost</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Rust</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Protobuf serialisation for gRPC payloads</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Used by gRPC DLP scanner for Vertex AI / Bedrock payload deconstruction</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ring / rustls</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Rust</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TLS for agent → cloud connection</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Avoids OpenSSL dependency in the agent binary itself</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tpm2-tss-rs</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Rust</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TPM 2.0 TSS bindings</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PCR extension and AIK-signed Quote generation on Linux</w:t>
            </w:r>
          </w:p>
        </w:tc>
      </w:tr>
    </w:tbl>
    <w:p>
      <w:pPr>
        <w:spacing w:after="100" w:before="0"/>
      </w:pPr>
    </w:p>
    <w:p>
      <w:pPr>
        <w:pStyle w:val="Heading2"/>
        <w:pBdr>
          <w:bottom w:val="single" w:color="374151" w:sz="4" w:space="4"/>
        </w:pBdr>
        <w:spacing w:after="80" w:before="280"/>
      </w:pPr>
      <w:r>
        <w:rPr>
          <w:rFonts w:ascii="Arial" w:cs="Arial" w:eastAsia="Arial" w:hAnsi="Arial"/>
          <w:b/>
          <w:bCs/>
          <w:color w:val="374151"/>
          <w:sz w:val="26"/>
          <w:szCs w:val="26"/>
        </w:rPr>
        <w:t xml:space="preserve">6.2  Windows Agent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3000"/>
      </w:tblGrid>
      <w:tr>
        <w:tc>
          <w:tcPr>
            <w:tcW w:type="dxa" w:w="22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Library / Package</w:t>
            </w:r>
          </w:p>
        </w:tc>
        <w:tc>
          <w:tcPr>
            <w:tcW w:type="dxa" w:w="18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Language</w:t>
            </w:r>
          </w:p>
        </w:tc>
        <w:tc>
          <w:tcPr>
            <w:tcW w:type="dxa" w:w="236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Purpose</w:t>
            </w:r>
          </w:p>
        </w:tc>
        <w:tc>
          <w:tcPr>
            <w:tcW w:type="dxa" w:w="30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Notes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Windows DDK / WDK</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C++</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Kernel driver development kit</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Required for WFP callout driver and ELAM minifilter development</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Microsoft Detours</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C++</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DLL interception (optional fallback)</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Used only for non-SChannel apps that bypass the WFP redirect</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Grpc.Net.Client</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C#</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gRPC cloud connection from orchestrator</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.NET 8 managed gRPC; handles reconnection and backpressure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Microsoft.Data.Sqlite</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C#</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Local policy vault storage</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SQLite wrapper; AES-256-GCM applied as custom encryption layer</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Microsoft.Bcl.Cryptography</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C#</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AES-GCM + RSA operations</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Policy update signature verification; TPM key operations via TBS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OnnxRuntime (C#)</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C#</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Layer 1 + Layer 2 ML inference</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NuGet package; same model files as Linux; hardware acceleration optional</w:t>
            </w:r>
          </w:p>
        </w:tc>
      </w:tr>
    </w:tbl>
    <w:p>
      <w:pPr>
        <w:spacing w:after="100" w:before="0"/>
      </w:pPr>
    </w:p>
    <w:p>
      <w:pPr>
        <w:pStyle w:val="Heading2"/>
        <w:pBdr>
          <w:bottom w:val="single" w:color="374151" w:sz="4" w:space="4"/>
        </w:pBdr>
        <w:spacing w:after="80" w:before="280"/>
      </w:pPr>
      <w:r>
        <w:rPr>
          <w:rFonts w:ascii="Arial" w:cs="Arial" w:eastAsia="Arial" w:hAnsi="Arial"/>
          <w:b/>
          <w:bCs/>
          <w:color w:val="374151"/>
          <w:sz w:val="26"/>
          <w:szCs w:val="26"/>
        </w:rPr>
        <w:t xml:space="preserve">6.3  macOS / Swift Agent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3000"/>
      </w:tblGrid>
      <w:tr>
        <w:tc>
          <w:tcPr>
            <w:tcW w:type="dxa" w:w="22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Library / Package</w:t>
            </w:r>
          </w:p>
        </w:tc>
        <w:tc>
          <w:tcPr>
            <w:tcW w:type="dxa" w:w="18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Language</w:t>
            </w:r>
          </w:p>
        </w:tc>
        <w:tc>
          <w:tcPr>
            <w:tcW w:type="dxa" w:w="236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Purpose</w:t>
            </w:r>
          </w:p>
        </w:tc>
        <w:tc>
          <w:tcPr>
            <w:tcW w:type="dxa" w:w="30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Notes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NetworkExtension.framework</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Swift</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Apple NE transparent proxy</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System API; no third-party dependency needed for core interception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EndpointSecurity.framework</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Swift</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Anti-tamper signal and file events</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System API; requires ES entitlement (provisioned via Apple developer account)</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CryptoKit</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Swift</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AES-GCM + Secure Enclave key ops</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Apple-native; Secure Enclave operations without third-party libs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GRPC-Swift</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Swift</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gRPC cloud connection</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apple/grpc-swift; generated from shared .proto files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ONNX Runtime (ObjC/Swift bridge)</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Swift</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ML inference on-device</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Microsoft ORT framework; CoreML execution provider for Apple Silicon</w:t>
            </w:r>
          </w:p>
        </w:tc>
      </w:tr>
    </w:tbl>
    <w:p>
      <w:pPr>
        <w:spacing w:after="100" w:before="0"/>
      </w:pPr>
    </w:p>
    <w:p>
      <w:pPr>
        <w:pStyle w:val="Heading2"/>
        <w:pBdr>
          <w:bottom w:val="single" w:color="374151" w:sz="4" w:space="4"/>
        </w:pBdr>
        <w:spacing w:after="80" w:before="280"/>
      </w:pPr>
      <w:r>
        <w:rPr>
          <w:rFonts w:ascii="Arial" w:cs="Arial" w:eastAsia="Arial" w:hAnsi="Arial"/>
          <w:b/>
          <w:bCs/>
          <w:color w:val="374151"/>
          <w:sz w:val="26"/>
          <w:szCs w:val="26"/>
        </w:rPr>
        <w:t xml:space="preserve">6.4  Cloud Backend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360"/>
        <w:gridCol w:w="3000"/>
      </w:tblGrid>
      <w:tr>
        <w:tc>
          <w:tcPr>
            <w:tcW w:type="dxa" w:w="22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Library / Package</w:t>
            </w:r>
          </w:p>
        </w:tc>
        <w:tc>
          <w:tcPr>
            <w:tcW w:type="dxa" w:w="18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Language</w:t>
            </w:r>
          </w:p>
        </w:tc>
        <w:tc>
          <w:tcPr>
            <w:tcW w:type="dxa" w:w="236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Purpose</w:t>
            </w:r>
          </w:p>
        </w:tc>
        <w:tc>
          <w:tcPr>
            <w:tcW w:type="dxa" w:w="3000"/>
            <w:tcBorders>
              <w:top w:val="none" w:color="FFFFFF" w:sz="0"/>
              <w:left w:val="none" w:color="FFFFFF" w:sz="0"/>
              <w:bottom w:val="none" w:color="FFFFFF" w:sz="0"/>
              <w:right w:val="none" w:color="FFFFFF" w:sz="0"/>
            </w:tcBorders>
            <w:shd w:fill="374151" w:val="clear"/>
            <w:tcMar>
              <w:top w:type="dxa" w:w="80"/>
              <w:left w:type="dxa" w:w="100"/>
              <w:bottom w:type="dxa" w:w="80"/>
              <w:right w:type="dxa" w:w="80"/>
            </w:tcMar>
          </w:tcPr>
          <w:p>
            <w:r>
              <w:rPr>
                <w:rFonts w:ascii="Arial" w:cs="Arial" w:eastAsia="Arial" w:hAnsi="Arial"/>
                <w:b/>
                <w:bCs/>
                <w:color w:val="FFFFFF"/>
                <w:sz w:val="17"/>
                <w:szCs w:val="17"/>
              </w:rPr>
              <w:t xml:space="preserve">Notes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google.golang.org/grpc</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Go</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gRPC server for agent connections</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Handles millions of concurrent agent streams via goroutines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lib/pq / pgx</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Go</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PostgreSQL driver</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pgx preferred for connection pooling and prepared statement caching</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ClickHouse-Go</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Go</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ClickHouse telemetry ingestion</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Batch insert with async flush for high-throughput event pipeline</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go-redis/redis</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Go</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Policy hot-cache</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Pub/sub for real-time policy invalidation across console replicas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crewjam/saml</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Go</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SAML 2.0 IdP integration</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Okta, Entra ID, Ping Identity SSO for console authentication</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coreos/go-oidc</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Go</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OIDC / OAuth2 token verification</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Validates JWT access tokens from configured Identity Providers</w:t>
            </w:r>
          </w:p>
        </w:tc>
      </w:tr>
      <w:tr>
        <w:tc>
          <w:tcPr>
            <w:tcW w:type="dxa" w:w="2200"/>
            <w:tcBorders>
              <w:top w:val="single" w:color="D1D5DB" w:sz="1"/>
              <w:left w:val="single" w:color="D1D5DB" w:sz="1"/>
              <w:bottom w:val="single" w:color="D1D5DB" w:sz="1"/>
              <w:right w:val="single" w:color="D1D5DB" w:sz="1"/>
            </w:tcBorders>
            <w:shd w:fill="F8FAFC" w:val="clear"/>
            <w:tcMar>
              <w:top w:type="dxa" w:w="70"/>
              <w:left w:type="dxa" w:w="100"/>
              <w:bottom w:type="dxa" w:w="70"/>
              <w:right w:type="dxa" w:w="80"/>
            </w:tcMar>
          </w:tcPr>
          <w:p>
            <w:r>
              <w:rPr>
                <w:rFonts w:ascii="Arial" w:cs="Arial" w:eastAsia="Arial" w:hAnsi="Arial"/>
                <w:b/>
                <w:bCs/>
                <w:color w:val="0F172A"/>
                <w:sz w:val="17"/>
                <w:szCs w:val="17"/>
              </w:rPr>
              <w:t xml:space="preserve">golang-migrate</w:t>
            </w:r>
          </w:p>
        </w:tc>
        <w:tc>
          <w:tcPr>
            <w:tcW w:type="dxa" w:w="18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b/>
                <w:bCs/>
                <w:color w:val="7C3AED"/>
                <w:sz w:val="17"/>
                <w:szCs w:val="17"/>
              </w:rPr>
              <w:t xml:space="preserve">Go</w:t>
            </w:r>
          </w:p>
        </w:tc>
        <w:tc>
          <w:tcPr>
            <w:tcW w:type="dxa" w:w="2360"/>
            <w:tcBorders>
              <w:top w:val="single" w:color="D1D5DB" w:sz="1"/>
              <w:left w:val="single" w:color="D1D5DB" w:sz="1"/>
              <w:bottom w:val="single" w:color="D1D5DB" w:sz="1"/>
              <w:right w:val="single" w:color="D1D5DB" w:sz="1"/>
            </w:tcBorders>
            <w:shd w:fill="F8FAFC" w:val="clear"/>
            <w:tcMar>
              <w:top w:type="dxa" w:w="70"/>
              <w:left w:type="dxa" w:w="80"/>
              <w:bottom w:type="dxa" w:w="70"/>
              <w:right w:type="dxa" w:w="80"/>
            </w:tcMar>
          </w:tcPr>
          <w:p>
            <w:r>
              <w:rPr>
                <w:rFonts w:ascii="Arial" w:cs="Arial" w:eastAsia="Arial" w:hAnsi="Arial"/>
                <w:color w:val="0F172A"/>
                <w:sz w:val="17"/>
                <w:szCs w:val="17"/>
              </w:rPr>
              <w:t xml:space="preserve">PostgreSQL schema migrations</w:t>
            </w:r>
          </w:p>
        </w:tc>
        <w:tc>
          <w:tcPr>
            <w:tcW w:type="dxa" w:w="3000"/>
            <w:tcBorders>
              <w:top w:val="single" w:color="D1D5DB" w:sz="1"/>
              <w:left w:val="single" w:color="D1D5DB" w:sz="1"/>
              <w:bottom w:val="single" w:color="D1D5DB" w:sz="1"/>
              <w:right w:val="single" w:color="D1D5DB" w:sz="1"/>
            </w:tcBorders>
            <w:shd w:fill="F8FAFC" w:val="clear"/>
            <w:tcMar>
              <w:top w:type="dxa" w:w="70"/>
              <w:left w:type="dxa" w:w="80"/>
              <w:bottom w:type="dxa" w:w="70"/>
              <w:right w:type="dxa" w:w="100"/>
            </w:tcMar>
          </w:tcPr>
          <w:p>
            <w:r>
              <w:rPr>
                <w:rFonts w:ascii="Arial" w:cs="Arial" w:eastAsia="Arial" w:hAnsi="Arial"/>
                <w:color w:val="64748B"/>
                <w:sz w:val="17"/>
                <w:szCs w:val="17"/>
              </w:rPr>
              <w:t xml:space="preserve">Versioned migrations; run at service startup in K8s init containers</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80"/>
            </w:tcMar>
          </w:tcPr>
          <w:p>
            <w:r>
              <w:rPr>
                <w:rFonts w:ascii="Arial" w:cs="Arial" w:eastAsia="Arial" w:hAnsi="Arial"/>
                <w:b/>
                <w:bCs/>
                <w:color w:val="0F172A"/>
                <w:sz w:val="17"/>
                <w:szCs w:val="17"/>
              </w:rPr>
              <w:t xml:space="preserve">Vault SDK</w:t>
            </w:r>
          </w:p>
        </w:tc>
        <w:tc>
          <w:tcPr>
            <w:tcW w:type="dxa" w:w="18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7C3AED"/>
                <w:sz w:val="17"/>
                <w:szCs w:val="17"/>
              </w:rPr>
              <w:t xml:space="preserve">Go</w:t>
            </w:r>
          </w:p>
        </w:tc>
        <w:tc>
          <w:tcPr>
            <w:tcW w:type="dxa" w:w="236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color w:val="0F172A"/>
                <w:sz w:val="17"/>
                <w:szCs w:val="17"/>
              </w:rPr>
              <w:t xml:space="preserve">Secrets management client</w:t>
            </w:r>
          </w:p>
        </w:tc>
        <w:tc>
          <w:tcPr>
            <w:tcW w:type="dxa" w:w="30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100"/>
            </w:tcMar>
          </w:tcPr>
          <w:p>
            <w:r>
              <w:rPr>
                <w:rFonts w:ascii="Arial" w:cs="Arial" w:eastAsia="Arial" w:hAnsi="Arial"/>
                <w:color w:val="64748B"/>
                <w:sz w:val="17"/>
                <w:szCs w:val="17"/>
              </w:rPr>
              <w:t xml:space="preserve">Fetches DB credentials and signing key references from HashiCorp Vault</w:t>
            </w:r>
          </w:p>
        </w:tc>
      </w:tr>
    </w:tbl>
    <w:p>
      <w:pPr>
        <w:spacing w:after="200" w:before="0"/>
      </w:pPr>
    </w:p>
    <w:p>
      <w:r>
        <w:br w:type="page"/>
      </w:r>
    </w:p>
    <w:p>
      <w:pPr>
        <w:pStyle w:val="Heading1"/>
        <w:spacing w:after="120" w:before="360"/>
      </w:pPr>
      <w:r>
        <w:rPr>
          <w:rFonts w:ascii="Arial" w:cs="Arial" w:eastAsia="Arial" w:hAnsi="Arial"/>
          <w:b/>
          <w:bCs/>
          <w:color w:val="0F172A"/>
          <w:sz w:val="36"/>
          <w:szCs w:val="36"/>
        </w:rPr>
        <w:t xml:space="preserve">Stack Selection Rationale Summary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EFF6FF" w:val="clear"/>
            <w:tcMar>
              <w:top w:type="dxa" w:w="100"/>
              <w:left w:type="dxa" w:w="120"/>
              <w:bottom w:type="dxa" w:w="100"/>
              <w:right w:type="dxa" w:w="80"/>
            </w:tcMar>
          </w:tcPr>
          <w:p>
            <w:r>
              <w:rPr>
                <w:rFonts w:ascii="Arial" w:cs="Arial" w:eastAsia="Arial" w:hAnsi="Arial"/>
                <w:b/>
                <w:bCs/>
                <w:color w:val="1A56DB"/>
                <w:sz w:val="19"/>
                <w:szCs w:val="19"/>
              </w:rPr>
              <w:t xml:space="preserve">Memory Safety First</w:t>
            </w:r>
          </w:p>
        </w:tc>
        <w:tc>
          <w:tcPr>
            <w:tcW w:type="dxa" w:w="6560"/>
            <w:tcBorders>
              <w:top w:val="single" w:color="D1D5DB" w:sz="1"/>
              <w:left w:val="single" w:color="D1D5DB" w:sz="1"/>
              <w:bottom w:val="single" w:color="D1D5DB" w:sz="1"/>
              <w:right w:val="single" w:color="D1D5DB" w:sz="1"/>
            </w:tcBorders>
            <w:shd w:fill="EFF6FF" w:val="clear"/>
            <w:tcMar>
              <w:top w:type="dxa" w:w="100"/>
              <w:left w:type="dxa" w:w="80"/>
              <w:bottom w:type="dxa" w:w="100"/>
              <w:right w:type="dxa" w:w="120"/>
            </w:tcMar>
          </w:tcPr>
          <w:p>
            <w:r>
              <w:rPr>
                <w:rFonts w:ascii="Arial" w:cs="Arial" w:eastAsia="Arial" w:hAnsi="Arial"/>
                <w:color w:val="0F172A"/>
                <w:sz w:val="19"/>
                <w:szCs w:val="19"/>
              </w:rPr>
              <w:t xml:space="preserve">Rust for Linux and cross-platform ML runtime code eliminates entire classes of kernel-level vulnerabilities (buffer overflows, use-after-free) that would be catastrophic in a privileged interception agent.</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80"/>
            </w:tcMar>
          </w:tcPr>
          <w:p>
            <w:r>
              <w:rPr>
                <w:rFonts w:ascii="Arial" w:cs="Arial" w:eastAsia="Arial" w:hAnsi="Arial"/>
                <w:b/>
                <w:bCs/>
                <w:color w:val="1A56DB"/>
                <w:sz w:val="19"/>
                <w:szCs w:val="19"/>
              </w:rPr>
              <w:t xml:space="preserve">Single-Language eBPF</w:t>
            </w:r>
          </w:p>
        </w:tc>
        <w:tc>
          <w:tcPr>
            <w:tcW w:type="dxa" w:w="656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120"/>
            </w:tcMar>
          </w:tcPr>
          <w:p>
            <w:r>
              <w:rPr>
                <w:rFonts w:ascii="Arial" w:cs="Arial" w:eastAsia="Arial" w:hAnsi="Arial"/>
                <w:color w:val="0F172A"/>
                <w:sz w:val="19"/>
                <w:szCs w:val="19"/>
              </w:rPr>
              <w:t xml:space="preserve">Aya allows both the kernel eBPF probe and the userspace daemon to be written in Rust, sharing types, serialisation schemas, and CI tooling — eliminating the traditional C/Rust split and its associated FFI complexity.</w:t>
            </w:r>
          </w:p>
        </w:tc>
      </w:tr>
      <w:tr>
        <w:tc>
          <w:tcPr>
            <w:tcW w:type="dxa" w:w="2800"/>
            <w:tcBorders>
              <w:top w:val="single" w:color="D1D5DB" w:sz="1"/>
              <w:left w:val="single" w:color="D1D5DB" w:sz="1"/>
              <w:bottom w:val="single" w:color="D1D5DB" w:sz="1"/>
              <w:right w:val="single" w:color="D1D5DB" w:sz="1"/>
            </w:tcBorders>
            <w:shd w:fill="EFF6FF" w:val="clear"/>
            <w:tcMar>
              <w:top w:type="dxa" w:w="100"/>
              <w:left w:type="dxa" w:w="120"/>
              <w:bottom w:type="dxa" w:w="100"/>
              <w:right w:type="dxa" w:w="80"/>
            </w:tcMar>
          </w:tcPr>
          <w:p>
            <w:r>
              <w:rPr>
                <w:rFonts w:ascii="Arial" w:cs="Arial" w:eastAsia="Arial" w:hAnsi="Arial"/>
                <w:b/>
                <w:bCs/>
                <w:color w:val="1A56DB"/>
                <w:sz w:val="19"/>
                <w:szCs w:val="19"/>
              </w:rPr>
              <w:t xml:space="preserve">No Kernel Extensions</w:t>
            </w:r>
          </w:p>
        </w:tc>
        <w:tc>
          <w:tcPr>
            <w:tcW w:type="dxa" w:w="6560"/>
            <w:tcBorders>
              <w:top w:val="single" w:color="D1D5DB" w:sz="1"/>
              <w:left w:val="single" w:color="D1D5DB" w:sz="1"/>
              <w:bottom w:val="single" w:color="D1D5DB" w:sz="1"/>
              <w:right w:val="single" w:color="D1D5DB" w:sz="1"/>
            </w:tcBorders>
            <w:shd w:fill="EFF6FF" w:val="clear"/>
            <w:tcMar>
              <w:top w:type="dxa" w:w="100"/>
              <w:left w:type="dxa" w:w="80"/>
              <w:bottom w:type="dxa" w:w="100"/>
              <w:right w:type="dxa" w:w="120"/>
            </w:tcMar>
          </w:tcPr>
          <w:p>
            <w:r>
              <w:rPr>
                <w:rFonts w:ascii="Arial" w:cs="Arial" w:eastAsia="Arial" w:hAnsi="Arial"/>
                <w:color w:val="0F172A"/>
                <w:sz w:val="19"/>
                <w:szCs w:val="19"/>
              </w:rPr>
              <w:t xml:space="preserve">macOS uses Network Extension + Endpoint Security exclusively. This avoids SIP lowering, Apple Notarization rejection risk, and the kext deprecation timeline — ensuring long-term OS compatibility.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80"/>
            </w:tcMar>
          </w:tcPr>
          <w:p>
            <w:r>
              <w:rPr>
                <w:rFonts w:ascii="Arial" w:cs="Arial" w:eastAsia="Arial" w:hAnsi="Arial"/>
                <w:b/>
                <w:bCs/>
                <w:color w:val="1A56DB"/>
                <w:sz w:val="19"/>
                <w:szCs w:val="19"/>
              </w:rPr>
              <w:t xml:space="preserve">On-Device Inference Only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120"/>
            </w:tcMar>
          </w:tcPr>
          <w:p>
            <w:r>
              <w:rPr>
                <w:rFonts w:ascii="Arial" w:cs="Arial" w:eastAsia="Arial" w:hAnsi="Arial"/>
                <w:color w:val="0F172A"/>
                <w:sz w:val="19"/>
                <w:szCs w:val="19"/>
              </w:rPr>
              <w:t xml:space="preserve">BERT-Lite via ONNX Runtime runs entirely on the endpoint. No prompt text ever leaves the device for ML analysis, satisfying data residency, GDPR, and DPDPA requirements by design rather than by policy.</w:t>
            </w:r>
          </w:p>
        </w:tc>
      </w:tr>
      <w:tr>
        <w:tc>
          <w:tcPr>
            <w:tcW w:type="dxa" w:w="2800"/>
            <w:tcBorders>
              <w:top w:val="single" w:color="D1D5DB" w:sz="1"/>
              <w:left w:val="single" w:color="D1D5DB" w:sz="1"/>
              <w:bottom w:val="single" w:color="D1D5DB" w:sz="1"/>
              <w:right w:val="single" w:color="D1D5DB" w:sz="1"/>
            </w:tcBorders>
            <w:shd w:fill="EFF6FF" w:val="clear"/>
            <w:tcMar>
              <w:top w:type="dxa" w:w="100"/>
              <w:left w:type="dxa" w:w="120"/>
              <w:bottom w:type="dxa" w:w="100"/>
              <w:right w:type="dxa" w:w="80"/>
            </w:tcMar>
          </w:tcPr>
          <w:p>
            <w:r>
              <w:rPr>
                <w:rFonts w:ascii="Arial" w:cs="Arial" w:eastAsia="Arial" w:hAnsi="Arial"/>
                <w:b/>
                <w:bCs/>
                <w:color w:val="1A56DB"/>
                <w:sz w:val="19"/>
                <w:szCs w:val="19"/>
              </w:rPr>
              <w:t xml:space="preserve">Hardware Root of Trust</w:t>
            </w:r>
          </w:p>
        </w:tc>
        <w:tc>
          <w:tcPr>
            <w:tcW w:type="dxa" w:w="6560"/>
            <w:tcBorders>
              <w:top w:val="single" w:color="D1D5DB" w:sz="1"/>
              <w:left w:val="single" w:color="D1D5DB" w:sz="1"/>
              <w:bottom w:val="single" w:color="D1D5DB" w:sz="1"/>
              <w:right w:val="single" w:color="D1D5DB" w:sz="1"/>
            </w:tcBorders>
            <w:shd w:fill="EFF6FF" w:val="clear"/>
            <w:tcMar>
              <w:top w:type="dxa" w:w="100"/>
              <w:left w:type="dxa" w:w="80"/>
              <w:bottom w:type="dxa" w:w="100"/>
              <w:right w:type="dxa" w:w="120"/>
            </w:tcMar>
          </w:tcPr>
          <w:p>
            <w:r>
              <w:rPr>
                <w:rFonts w:ascii="Arial" w:cs="Arial" w:eastAsia="Arial" w:hAnsi="Arial"/>
                <w:color w:val="0F172A"/>
                <w:sz w:val="19"/>
                <w:szCs w:val="19"/>
              </w:rPr>
              <w:t xml:space="preserve">TPM 2.0 (Linux/Windows) and Secure Enclave (macOS) are used for both key storage and remote attestation. Software-only integrity checks are explicitly rejected as forgeable by a privileged attacker.</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80"/>
            </w:tcMar>
          </w:tcPr>
          <w:p>
            <w:r>
              <w:rPr>
                <w:rFonts w:ascii="Arial" w:cs="Arial" w:eastAsia="Arial" w:hAnsi="Arial"/>
                <w:b/>
                <w:bCs/>
                <w:color w:val="1A56DB"/>
                <w:sz w:val="19"/>
                <w:szCs w:val="19"/>
              </w:rPr>
              <w:t xml:space="preserve">ClickHouse for Telemetry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80"/>
              <w:bottom w:type="dxa" w:w="100"/>
              <w:right w:type="dxa" w:w="120"/>
            </w:tcMar>
          </w:tcPr>
          <w:p>
            <w:r>
              <w:rPr>
                <w:rFonts w:ascii="Arial" w:cs="Arial" w:eastAsia="Arial" w:hAnsi="Arial"/>
                <w:color w:val="0F172A"/>
                <w:sz w:val="19"/>
                <w:szCs w:val="19"/>
              </w:rPr>
              <w:t xml:space="preserve">PostgreSQL alone cannot sustain the write throughput from thousands of agents generating continuous flow telemetry. ClickHouse's columnar storage and batch insert model handles billions of events with sub-second analytical query latency.</w:t>
            </w:r>
          </w:p>
        </w:tc>
      </w:tr>
      <w:tr>
        <w:tc>
          <w:tcPr>
            <w:tcW w:type="dxa" w:w="2800"/>
            <w:tcBorders>
              <w:top w:val="single" w:color="D1D5DB" w:sz="1"/>
              <w:left w:val="single" w:color="D1D5DB" w:sz="1"/>
              <w:bottom w:val="single" w:color="D1D5DB" w:sz="1"/>
              <w:right w:val="single" w:color="D1D5DB" w:sz="1"/>
            </w:tcBorders>
            <w:shd w:fill="EFF6FF" w:val="clear"/>
            <w:tcMar>
              <w:top w:type="dxa" w:w="100"/>
              <w:left w:type="dxa" w:w="120"/>
              <w:bottom w:type="dxa" w:w="100"/>
              <w:right w:type="dxa" w:w="80"/>
            </w:tcMar>
          </w:tcPr>
          <w:p>
            <w:r>
              <w:rPr>
                <w:rFonts w:ascii="Arial" w:cs="Arial" w:eastAsia="Arial" w:hAnsi="Arial"/>
                <w:b/>
                <w:bCs/>
                <w:color w:val="1A56DB"/>
                <w:sz w:val="19"/>
                <w:szCs w:val="19"/>
              </w:rPr>
              <w:t xml:space="preserve">Go for Backend</w:t>
            </w:r>
          </w:p>
        </w:tc>
        <w:tc>
          <w:tcPr>
            <w:tcW w:type="dxa" w:w="6560"/>
            <w:tcBorders>
              <w:top w:val="single" w:color="D1D5DB" w:sz="1"/>
              <w:left w:val="single" w:color="D1D5DB" w:sz="1"/>
              <w:bottom w:val="single" w:color="D1D5DB" w:sz="1"/>
              <w:right w:val="single" w:color="D1D5DB" w:sz="1"/>
            </w:tcBorders>
            <w:shd w:fill="EFF6FF" w:val="clear"/>
            <w:tcMar>
              <w:top w:type="dxa" w:w="100"/>
              <w:left w:type="dxa" w:w="80"/>
              <w:bottom w:type="dxa" w:w="100"/>
              <w:right w:type="dxa" w:w="120"/>
            </w:tcMar>
          </w:tcPr>
          <w:p>
            <w:r>
              <w:rPr>
                <w:rFonts w:ascii="Arial" w:cs="Arial" w:eastAsia="Arial" w:hAnsi="Arial"/>
                <w:color w:val="0F172A"/>
                <w:sz w:val="19"/>
                <w:szCs w:val="19"/>
              </w:rPr>
              <w:t xml:space="preserve">Go's goroutine model makes it the only practical choice for a backend that must maintain millions of persistent, bidirectional gRPC streams simultaneously without a thread-per-connection model.</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4748B"/>
        <w:sz w:val="16"/>
        <w:szCs w:val="16"/>
      </w:rPr>
      <w:t xml:space="preserve">PromptRail — Technology Stack Reference  |  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2026-06-28T16:57:25.739Z</dcterms:created>
  <dcterms:modified xsi:type="dcterms:W3CDTF">2026-06-28T16:57:25.739Z</dcterms:modified>
</cp:coreProperties>
</file>

<file path=docProps/custom.xml><?xml version="1.0" encoding="utf-8"?>
<Properties xmlns="http://schemas.openxmlformats.org/officeDocument/2006/custom-properties" xmlns:vt="http://schemas.openxmlformats.org/officeDocument/2006/docPropsVTypes"/>
</file>