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BB4" w:rsidRPr="00995BB4" w:rsidRDefault="00CA24BD" w:rsidP="00995BB4">
      <w:pPr>
        <w:pStyle w:val="Heading1"/>
        <w:spacing w:before="360" w:after="600"/>
        <w:rPr>
          <w:rFonts w:ascii="Calibri" w:eastAsia="Calibri" w:hAnsi="Calibri" w:cs="Calibri"/>
          <w:sz w:val="36"/>
        </w:rPr>
      </w:pPr>
      <w:r>
        <w:rPr>
          <w:rFonts w:ascii="Calibri" w:eastAsia="Calibri" w:hAnsi="Calibri" w:cs="Calibri"/>
          <w:sz w:val="36"/>
        </w:rPr>
        <w:t>Adventure Works Cycles</w:t>
      </w:r>
    </w:p>
    <w:p w:rsidR="000D1B3E" w:rsidRDefault="00CA24BD" w:rsidP="00D14EB8">
      <w:pPr>
        <w:spacing w:after="120"/>
        <w:ind w:firstLine="720"/>
        <w:jc w:val="both"/>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rsidR="008D28DC" w:rsidRPr="00BC4378" w:rsidRDefault="008D28DC" w:rsidP="00BC4378">
      <w:pPr>
        <w:bidi/>
        <w:rPr>
          <w:sz w:val="24"/>
          <w:szCs w:val="24"/>
        </w:rPr>
      </w:pPr>
      <w:r w:rsidRPr="00BC4378">
        <w:rPr>
          <w:rFonts w:hint="cs"/>
          <w:sz w:val="24"/>
          <w:szCs w:val="24"/>
          <w:rtl/>
        </w:rPr>
        <w:t xml:space="preserve">في عام 2000، "دورات الأعمال المغامرة" اشترى مصنع الصناعات التحويلية صغيرة، </w:t>
      </w:r>
      <w:r w:rsidRPr="00BC4378">
        <w:rPr>
          <w:rFonts w:hint="cs"/>
          <w:sz w:val="24"/>
          <w:szCs w:val="24"/>
        </w:rPr>
        <w:t xml:space="preserve">Neptuno </w:t>
      </w:r>
      <w:r w:rsidRPr="00BC4378">
        <w:rPr>
          <w:rFonts w:hint="cs"/>
          <w:sz w:val="24"/>
          <w:szCs w:val="24"/>
          <w:rtl/>
        </w:rPr>
        <w:t>إيمبورتادوريس، الموجود في المكسيك</w:t>
      </w:r>
      <w:r w:rsidRPr="00BC4378">
        <w:rPr>
          <w:rFonts w:hint="cs"/>
          <w:sz w:val="24"/>
          <w:szCs w:val="24"/>
        </w:rPr>
        <w:t>. </w:t>
      </w:r>
      <w:r w:rsidRPr="00BC4378">
        <w:rPr>
          <w:rFonts w:hint="cs"/>
          <w:sz w:val="24"/>
          <w:szCs w:val="24"/>
          <w:rtl/>
        </w:rPr>
        <w:t>إيمبورتادوريس</w:t>
      </w:r>
      <w:r w:rsidRPr="00BC4378">
        <w:rPr>
          <w:rFonts w:hint="cs"/>
          <w:sz w:val="24"/>
          <w:szCs w:val="24"/>
        </w:rPr>
        <w:t xml:space="preserve"> Neptuno </w:t>
      </w:r>
      <w:r w:rsidRPr="00BC4378">
        <w:rPr>
          <w:rFonts w:hint="cs"/>
          <w:sz w:val="24"/>
          <w:szCs w:val="24"/>
          <w:rtl/>
        </w:rPr>
        <w:t>المصنوعات عدة مكونات حاسمة لخط المنتج "دورات الأعمال المغامرة</w:t>
      </w:r>
      <w:r w:rsidRPr="00BC4378">
        <w:rPr>
          <w:rFonts w:hint="cs"/>
          <w:sz w:val="24"/>
          <w:szCs w:val="24"/>
        </w:rPr>
        <w:t>". </w:t>
      </w:r>
      <w:r w:rsidRPr="00BC4378">
        <w:rPr>
          <w:rFonts w:hint="cs"/>
          <w:sz w:val="24"/>
          <w:szCs w:val="24"/>
          <w:rtl/>
        </w:rPr>
        <w:t>هذه المكونات يتم شحنها إلى موقع بوثيل لتج</w:t>
      </w:r>
      <w:bookmarkStart w:id="0" w:name="_GoBack"/>
      <w:bookmarkEnd w:id="0"/>
      <w:r w:rsidRPr="00BC4378">
        <w:rPr>
          <w:rFonts w:hint="cs"/>
          <w:sz w:val="24"/>
          <w:szCs w:val="24"/>
          <w:rtl/>
        </w:rPr>
        <w:t>ميع المنتج النهائي</w:t>
      </w:r>
      <w:r w:rsidRPr="00BC4378">
        <w:rPr>
          <w:rFonts w:hint="cs"/>
          <w:sz w:val="24"/>
          <w:szCs w:val="24"/>
        </w:rPr>
        <w:t>. </w:t>
      </w:r>
      <w:r w:rsidRPr="00BC4378">
        <w:rPr>
          <w:rFonts w:hint="cs"/>
          <w:sz w:val="24"/>
          <w:szCs w:val="24"/>
          <w:rtl/>
        </w:rPr>
        <w:t>في عام 2001، إيمبورتادوريس</w:t>
      </w:r>
      <w:r w:rsidRPr="00BC4378">
        <w:rPr>
          <w:rFonts w:hint="cs"/>
          <w:sz w:val="24"/>
          <w:szCs w:val="24"/>
        </w:rPr>
        <w:t xml:space="preserve"> Neptuno</w:t>
      </w:r>
      <w:r w:rsidRPr="00BC4378">
        <w:rPr>
          <w:rFonts w:hint="cs"/>
          <w:sz w:val="24"/>
          <w:szCs w:val="24"/>
          <w:rtl/>
        </w:rPr>
        <w:t>، أصبح المصنع الوحيد وموزع لمجموعة المنتجات الدراجات يجول</w:t>
      </w:r>
      <w:r w:rsidRPr="00BC4378">
        <w:rPr>
          <w:rFonts w:hint="cs"/>
          <w:sz w:val="24"/>
          <w:szCs w:val="24"/>
        </w:rPr>
        <w:t>.</w:t>
      </w:r>
    </w:p>
    <w:p w:rsidR="000D1B3E" w:rsidRDefault="00CA24BD">
      <w:pPr>
        <w:pStyle w:val="Heading1"/>
      </w:pPr>
      <w:r>
        <w:rPr>
          <w:rFonts w:ascii="Calibri" w:eastAsia="Calibri" w:hAnsi="Calibri" w:cs="Calibri"/>
        </w:rPr>
        <w:t>Product Overview</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0D1B3E" w:rsidTr="00986911">
        <w:tc>
          <w:tcPr>
            <w:tcW w:w="4680" w:type="dxa"/>
          </w:tcPr>
          <w:p w:rsidR="000D1B3E" w:rsidRDefault="00CA24BD" w:rsidP="00D37816">
            <w:pPr>
              <w:spacing w:before="120" w:after="0"/>
              <w:jc w:val="center"/>
              <w:rPr>
                <w:sz w:val="24"/>
              </w:rPr>
            </w:pPr>
            <w:r>
              <w:rPr>
                <w:noProof/>
              </w:rPr>
              <w:drawing>
                <wp:inline distT="0" distB="0" distL="0" distR="0">
                  <wp:extent cx="1805940" cy="1121188"/>
                  <wp:effectExtent l="0" t="0" r="3810" b="3175"/>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188"/>
                          </a:xfrm>
                          <a:prstGeom prst="rect">
                            <a:avLst/>
                          </a:prstGeom>
                        </pic:spPr>
                      </pic:pic>
                    </a:graphicData>
                  </a:graphic>
                </wp:inline>
              </w:drawing>
            </w:r>
          </w:p>
        </w:tc>
        <w:tc>
          <w:tcPr>
            <w:tcW w:w="4680" w:type="dxa"/>
          </w:tcPr>
          <w:p w:rsidR="000D1B3E" w:rsidRDefault="00CA24BD" w:rsidP="00D37816">
            <w:pPr>
              <w:pStyle w:val="Heading1"/>
              <w:spacing w:before="120" w:line="240" w:lineRule="auto"/>
              <w:ind w:left="720"/>
            </w:pPr>
            <w:r>
              <w:t>Mountain-200</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Product No: BK-M68B-38</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Size: 38</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Weight: 25</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Price: $2,294.99</w:t>
            </w:r>
          </w:p>
          <w:p w:rsidR="000D1B3E" w:rsidRDefault="000D1B3E">
            <w:pPr>
              <w:spacing w:after="0" w:line="240" w:lineRule="auto"/>
              <w:rPr>
                <w:sz w:val="24"/>
              </w:rPr>
            </w:pPr>
          </w:p>
        </w:tc>
      </w:tr>
      <w:tr w:rsidR="000D1B3E" w:rsidTr="00986911">
        <w:tc>
          <w:tcPr>
            <w:tcW w:w="4680" w:type="dxa"/>
          </w:tcPr>
          <w:p w:rsidR="000D1B3E" w:rsidRDefault="00CA24BD" w:rsidP="00D37816">
            <w:pPr>
              <w:pStyle w:val="Heading1"/>
              <w:spacing w:before="120" w:line="240" w:lineRule="auto"/>
              <w:ind w:left="720"/>
            </w:pPr>
            <w:r>
              <w:t xml:space="preserve">Mountain-300 </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Product No: BK-M47B-38</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Size: 35</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Weight: 22</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Price: $1,079.99</w:t>
            </w:r>
          </w:p>
          <w:p w:rsidR="000D1B3E" w:rsidRDefault="000D1B3E">
            <w:pPr>
              <w:spacing w:after="0" w:line="240" w:lineRule="auto"/>
              <w:rPr>
                <w:sz w:val="24"/>
              </w:rPr>
            </w:pPr>
          </w:p>
        </w:tc>
        <w:tc>
          <w:tcPr>
            <w:tcW w:w="4680" w:type="dxa"/>
          </w:tcPr>
          <w:p w:rsidR="000D1B3E" w:rsidRDefault="00CA24BD" w:rsidP="00D37816">
            <w:pPr>
              <w:pStyle w:val="Heading1"/>
              <w:spacing w:before="120" w:line="240" w:lineRule="auto"/>
              <w:jc w:val="center"/>
            </w:pPr>
            <w:r>
              <w:rPr>
                <w:noProof/>
              </w:rPr>
              <w:drawing>
                <wp:inline distT="0" distB="0" distL="0" distR="0">
                  <wp:extent cx="1714500" cy="1064419"/>
                  <wp:effectExtent l="0" t="0" r="0" b="2540"/>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419"/>
                          </a:xfrm>
                          <a:prstGeom prst="rect">
                            <a:avLst/>
                          </a:prstGeom>
                        </pic:spPr>
                      </pic:pic>
                    </a:graphicData>
                  </a:graphic>
                </wp:inline>
              </w:drawing>
            </w:r>
          </w:p>
        </w:tc>
      </w:tr>
      <w:tr w:rsidR="000D1B3E" w:rsidTr="00986911">
        <w:tc>
          <w:tcPr>
            <w:tcW w:w="4680" w:type="dxa"/>
          </w:tcPr>
          <w:p w:rsidR="000D1B3E" w:rsidRDefault="00CA24BD" w:rsidP="00D37816">
            <w:pPr>
              <w:pStyle w:val="Heading1"/>
              <w:spacing w:before="120" w:line="240" w:lineRule="auto"/>
              <w:jc w:val="center"/>
            </w:pPr>
            <w:r>
              <w:rPr>
                <w:noProof/>
              </w:rPr>
              <w:drawing>
                <wp:inline distT="0" distB="0" distL="0" distR="0">
                  <wp:extent cx="2103120" cy="1305687"/>
                  <wp:effectExtent l="0" t="0" r="0" b="8890"/>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687"/>
                          </a:xfrm>
                          <a:prstGeom prst="rect">
                            <a:avLst/>
                          </a:prstGeom>
                        </pic:spPr>
                      </pic:pic>
                    </a:graphicData>
                  </a:graphic>
                </wp:inline>
              </w:drawing>
            </w:r>
          </w:p>
        </w:tc>
        <w:tc>
          <w:tcPr>
            <w:tcW w:w="4680" w:type="dxa"/>
          </w:tcPr>
          <w:p w:rsidR="000D1B3E" w:rsidRDefault="00CA24BD" w:rsidP="00D37816">
            <w:pPr>
              <w:pStyle w:val="Heading1"/>
              <w:spacing w:before="120" w:line="240" w:lineRule="auto"/>
              <w:ind w:left="720"/>
            </w:pPr>
            <w:r>
              <w:t xml:space="preserve">Road-150 </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Product No: BK-R93R-44</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Size: 44</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Weight: 14</w:t>
            </w:r>
          </w:p>
          <w:p w:rsidR="000D1B3E" w:rsidRDefault="00CA24BD" w:rsidP="00A905F3">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Price: $3,578.27</w:t>
            </w:r>
          </w:p>
          <w:p w:rsidR="000D1B3E" w:rsidRDefault="000D1B3E">
            <w:pPr>
              <w:pStyle w:val="Heading1"/>
              <w:spacing w:line="240" w:lineRule="auto"/>
            </w:pPr>
          </w:p>
        </w:tc>
      </w:tr>
    </w:tbl>
    <w:p w:rsidR="000D1B3E" w:rsidRDefault="000D1B3E" w:rsidP="001E250A"/>
    <w:sectPr w:rsidR="000D1B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639" w:rsidRDefault="00751639">
      <w:pPr>
        <w:spacing w:after="0" w:line="240" w:lineRule="auto"/>
      </w:pPr>
      <w:r>
        <w:separator/>
      </w:r>
    </w:p>
  </w:endnote>
  <w:endnote w:type="continuationSeparator" w:id="0">
    <w:p w:rsidR="00751639" w:rsidRDefault="00751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639" w:rsidRDefault="00751639">
      <w:pPr>
        <w:spacing w:after="0" w:line="240" w:lineRule="auto"/>
      </w:pPr>
      <w:r>
        <w:separator/>
      </w:r>
    </w:p>
  </w:footnote>
  <w:footnote w:type="continuationSeparator" w:id="0">
    <w:p w:rsidR="00751639" w:rsidRDefault="00751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3CA0"/>
    <w:multiLevelType w:val="multilevel"/>
    <w:tmpl w:val="EF52A89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646B3843"/>
    <w:multiLevelType w:val="multilevel"/>
    <w:tmpl w:val="2CC2693A"/>
    <w:lvl w:ilvl="0">
      <w:start w:val="1"/>
      <w:numFmt w:val="decimal"/>
      <w:lvlText w:val="%1."/>
      <w:lvlJc w:val="left"/>
      <w:pPr>
        <w:ind w:left="720" w:hanging="360"/>
      </w:pPr>
      <w:rPr>
        <w:rFonts w:hint="default"/>
        <w:b/>
        <w:i/>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5287B5D"/>
    <w:multiLevelType w:val="multilevel"/>
    <w:tmpl w:val="026A0FC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3E"/>
    <w:rsid w:val="000441EF"/>
    <w:rsid w:val="000D1B3E"/>
    <w:rsid w:val="001E250A"/>
    <w:rsid w:val="002436D2"/>
    <w:rsid w:val="00247B5D"/>
    <w:rsid w:val="002A7762"/>
    <w:rsid w:val="00424330"/>
    <w:rsid w:val="0044722B"/>
    <w:rsid w:val="00495EE1"/>
    <w:rsid w:val="004977CE"/>
    <w:rsid w:val="00584FDE"/>
    <w:rsid w:val="006C32DD"/>
    <w:rsid w:val="006C525B"/>
    <w:rsid w:val="00751604"/>
    <w:rsid w:val="00751639"/>
    <w:rsid w:val="008068F6"/>
    <w:rsid w:val="00874213"/>
    <w:rsid w:val="008D28DC"/>
    <w:rsid w:val="008F2159"/>
    <w:rsid w:val="00930D5C"/>
    <w:rsid w:val="00930FD4"/>
    <w:rsid w:val="00986911"/>
    <w:rsid w:val="00995BB4"/>
    <w:rsid w:val="00A04D7C"/>
    <w:rsid w:val="00A905F3"/>
    <w:rsid w:val="00AA5DB7"/>
    <w:rsid w:val="00AC6B48"/>
    <w:rsid w:val="00BA0A59"/>
    <w:rsid w:val="00BC4378"/>
    <w:rsid w:val="00CA24BD"/>
    <w:rsid w:val="00D14EB8"/>
    <w:rsid w:val="00D362C8"/>
    <w:rsid w:val="00D37816"/>
    <w:rsid w:val="00E515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E59708-18EB-404A-876C-C07D1DBE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160" w:line="276" w:lineRule="auto"/>
    </w:pPr>
    <w:rPr>
      <w:rFonts w:ascii="Calibri" w:eastAsia="Calibri" w:hAnsi="Calibri" w:cs="Calibri"/>
      <w:sz w:val="22"/>
    </w:rPr>
  </w:style>
  <w:style w:type="paragraph" w:styleId="Heading1">
    <w:name w:val="heading 1"/>
    <w:basedOn w:val="Normal"/>
    <w:next w:val="Normal"/>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86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11"/>
    <w:rPr>
      <w:rFonts w:ascii="Calibri" w:eastAsia="Calibri" w:hAnsi="Calibri" w:cs="Calibri"/>
      <w:sz w:val="22"/>
    </w:rPr>
  </w:style>
  <w:style w:type="paragraph" w:styleId="Footer">
    <w:name w:val="footer"/>
    <w:basedOn w:val="Normal"/>
    <w:link w:val="FooterChar"/>
    <w:uiPriority w:val="99"/>
    <w:unhideWhenUsed/>
    <w:rsid w:val="00986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11"/>
    <w:rPr>
      <w:rFonts w:ascii="Calibri" w:eastAsia="Calibri" w:hAnsi="Calibri" w:cs="Calibri"/>
      <w:sz w:val="22"/>
    </w:rPr>
  </w:style>
  <w:style w:type="paragraph" w:styleId="ListParagraph">
    <w:name w:val="List Paragraph"/>
    <w:basedOn w:val="Normal"/>
    <w:uiPriority w:val="34"/>
    <w:qFormat/>
    <w:rsid w:val="00D36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Arumuga Perumal</cp:lastModifiedBy>
  <cp:revision>18</cp:revision>
  <dcterms:created xsi:type="dcterms:W3CDTF">2014-09-26T05:25:00Z</dcterms:created>
  <dcterms:modified xsi:type="dcterms:W3CDTF">2017-10-19T10:18:00Z</dcterms:modified>
</cp:coreProperties>
</file>