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pPr>
        <w:spacing/>
        <w:rPr/>
      </w:pPr>
      <w:bookmarkStart w:id="2" w:name="Title_healthcare"/>
      <w:r>
        <w:rPr>
          <w:rFonts w:ascii="Calibri" w:hAnsi="Calibri" w:eastAsia="Calibri" w:cs="Calibri"/>
          <w:b/>
          <w:sz w:val="36"/>
        </w:rPr>
        <w:t xml:space="preserve">Standard Operating Procedure — Patient Care Services</w:t>
      </w:r>
      <w:bookmarkEnd w:id="2"/>
    </w:p>
    <w:p>
      <w:pPr>
        <w:spacing/>
        <w:rPr/>
      </w:pPr>
    </w:p>
    <w:p>
      <w:pPr>
        <w:spacing/>
        <w:rPr/>
      </w:pPr>
      <w:r>
        <w:rPr>
          <w:rFonts w:ascii="Calibri" w:hAnsi="Calibri" w:eastAsia="Calibri" w:cs="Calibri"/>
          <w:b/>
        </w:rPr>
        <w:t xml:space="preserve">Effective Date: </w:t>
      </w:r>
      <w:r>
        <w:rPr>
          <w:rFonts w:ascii="Calibri" w:hAnsi="Calibri" w:eastAsia="Calibri" w:cs="Calibri"/>
        </w:rPr>
        <w:fldChar w:fldCharType="begin"/>
      </w:r>
      <w:r>
        <w:rPr>
          <w:rFonts w:ascii="Calibri" w:hAnsi="Calibri" w:eastAsia="Calibri" w:cs="Calibri"/>
        </w:rPr>
        <w:instrText xml:space="preserve">MERGEFIELD EffectiveDate</w:instrText>
      </w:r>
      <w:r>
        <w:rPr/>
        <w:fldChar w:fldCharType="separate"/>
      </w:r>
      <w:r>
        <w:rPr>
          <w:rFonts w:ascii="Calibri" w:hAnsi="Calibri" w:eastAsia="Calibri" w:cs="Calibri"/>
        </w:rPr>
        <w:t xml:space="preserve">«EffectiveDate»</w:t>
      </w:r>
      <w:r>
        <w:rPr/>
        <w:fldChar w:fldCharType="end"/>
      </w:r>
    </w:p>
    <w:p>
      <w:pPr>
        <w:spacing/>
        <w:rPr/>
      </w:pPr>
      <w:r>
        <w:rPr>
          <w:rFonts w:ascii="Calibri" w:hAnsi="Calibri" w:eastAsia="Calibri" w:cs="Calibri"/>
          <w:b/>
        </w:rPr>
        <w:t xml:space="preserve">Issuing Organization: </w:t>
      </w:r>
      <w:r>
        <w:rPr>
          <w:rFonts w:ascii="Calibri" w:hAnsi="Calibri" w:eastAsia="Calibri" w:cs="Calibri"/>
        </w:rPr>
        <w:fldChar w:fldCharType="begin"/>
      </w:r>
      <w:r>
        <w:rPr>
          <w:rFonts w:ascii="Calibri" w:hAnsi="Calibri" w:eastAsia="Calibri" w:cs="Calibri"/>
        </w:rPr>
        <w:instrText xml:space="preserve">MERGEFIELD CompanyName</w:instrText>
      </w:r>
      <w:r>
        <w:rPr/>
        <w:fldChar w:fldCharType="separate"/>
      </w:r>
      <w:r>
        <w:rPr>
          <w:rFonts w:ascii="Calibri" w:hAnsi="Calibri" w:eastAsia="Calibri" w:cs="Calibri"/>
        </w:rPr>
        <w:t xml:space="preserve">«CompanyName»</w:t>
      </w:r>
      <w:r>
        <w:rPr/>
        <w:fldChar w:fldCharType="end"/>
      </w:r>
    </w:p>
    <w:p>
      <w:pPr>
        <w:spacing/>
        <w:rPr/>
      </w:pPr>
      <w:r>
        <w:rPr>
          <w:rFonts w:ascii="Calibri" w:hAnsi="Calibri" w:eastAsia="Calibri" w:cs="Calibri"/>
          <w:b/>
        </w:rPr>
        <w:t xml:space="preserve">Responsible Department: </w:t>
      </w:r>
      <w:r>
        <w:rPr>
          <w:rFonts w:ascii="Calibri" w:hAnsi="Calibri" w:eastAsia="Calibri" w:cs="Calibri"/>
        </w:rPr>
        <w:fldChar w:fldCharType="begin"/>
      </w:r>
      <w:r>
        <w:rPr>
          <w:rFonts w:ascii="Calibri" w:hAnsi="Calibri" w:eastAsia="Calibri" w:cs="Calibri"/>
        </w:rPr>
        <w:instrText xml:space="preserve">MERGEFIELD DepartmentName</w:instrText>
      </w:r>
      <w:r>
        <w:rPr/>
        <w:fldChar w:fldCharType="separate"/>
      </w:r>
      <w:r>
        <w:rPr>
          <w:rFonts w:ascii="Calibri" w:hAnsi="Calibri" w:eastAsia="Calibri" w:cs="Calibri"/>
        </w:rPr>
        <w:t xml:space="preserve">«DepartmentName»</w:t>
      </w:r>
      <w:r>
        <w:rPr/>
        <w:fldChar w:fldCharType="end"/>
      </w:r>
    </w:p>
    <w:p>
      <w:pPr>
        <w:spacing/>
        <w:rPr/>
      </w:pPr>
      <w:r>
        <w:rPr>
          <w:rFonts w:ascii="Calibri" w:hAnsi="Calibri" w:eastAsia="Calibri" w:cs="Calibri"/>
          <w:b/>
        </w:rPr>
        <w:t xml:space="preserve">Procedure Owner: </w:t>
      </w:r>
      <w:r>
        <w:rPr>
          <w:rFonts w:ascii="Calibri" w:hAnsi="Calibri" w:eastAsia="Calibri" w:cs="Calibri"/>
        </w:rPr>
        <w:fldChar w:fldCharType="begin"/>
      </w:r>
      <w:r>
        <w:rPr>
          <w:rFonts w:ascii="Calibri" w:hAnsi="Calibri" w:eastAsia="Calibri" w:cs="Calibri"/>
        </w:rPr>
        <w:instrText xml:space="preserve">MERGEFIELD CustomerContact</w:instrText>
      </w:r>
      <w:r>
        <w:rPr/>
        <w:fldChar w:fldCharType="separate"/>
      </w:r>
      <w:r>
        <w:rPr>
          <w:rFonts w:ascii="Calibri" w:hAnsi="Calibri" w:eastAsia="Calibri" w:cs="Calibri"/>
        </w:rPr>
        <w:t xml:space="preserve">«CustomerContact»</w:t>
      </w:r>
      <w:r>
        <w:rPr/>
        <w:fldChar w:fldCharType="end"/>
      </w:r>
    </w:p>
    <w:p>
      <w:pPr>
        <w:spacing/>
        <w:rPr/>
      </w:pPr>
      <w:r>
        <w:rPr>
          <w:rFonts w:ascii="Calibri" w:hAnsi="Calibri" w:eastAsia="Calibri" w:cs="Calibri"/>
          <w:b/>
        </w:rPr>
        <w:t xml:space="preserve">CPT / HCPCS Code: </w:t>
      </w:r>
      <w:r>
        <w:rPr>
          <w:rFonts w:ascii="Calibri" w:hAnsi="Calibri" w:eastAsia="Calibri" w:cs="Calibri"/>
        </w:rPr>
        <w:fldChar w:fldCharType="begin"/>
      </w:r>
      <w:r>
        <w:rPr>
          <w:rFonts w:ascii="Calibri" w:hAnsi="Calibri" w:eastAsia="Calibri" w:cs="Calibri"/>
        </w:rPr>
        <w:instrText xml:space="preserve">MERGEFIELD ProcedureCode</w:instrText>
      </w:r>
      <w:r>
        <w:rPr/>
        <w:fldChar w:fldCharType="separate"/>
      </w:r>
      <w:r>
        <w:rPr>
          <w:rFonts w:ascii="Calibri" w:hAnsi="Calibri" w:eastAsia="Calibri" w:cs="Calibri"/>
        </w:rPr>
        <w:t xml:space="preserve">«ProcedureCode»</w:t>
      </w:r>
      <w:r>
        <w:rPr/>
        <w:fldChar w:fldCharType="end"/>
      </w:r>
    </w:p>
    <w:p>
      <w:pPr>
        <w:spacing/>
        <w:rPr/>
      </w:pPr>
    </w:p>
    <w:p>
      <w:pPr>
        <w:spacing/>
        <w:rPr/>
      </w:pPr>
      <w:bookmarkStart w:id="3" w:name="Purpose"/>
      <w:r>
        <w:rPr>
          <w:rFonts w:ascii="Calibri" w:hAnsi="Calibri" w:eastAsia="Calibri" w:cs="Calibri"/>
        </w:rPr>
        <w:t xml:space="preserve">This Standard Operating Procedure (the “SOP”) establishes the minimum requirements for delivering patient care services within the </w:t>
      </w:r>
      <w:r>
        <w:rPr>
          <w:rFonts w:ascii="Calibri" w:hAnsi="Calibri" w:eastAsia="Calibri" w:cs="Calibri"/>
        </w:rPr>
        <w:fldChar w:fldCharType="begin"/>
      </w:r>
      <w:r>
        <w:rPr>
          <w:rFonts w:ascii="Calibri" w:hAnsi="Calibri" w:eastAsia="Calibri" w:cs="Calibri"/>
        </w:rPr>
        <w:instrText xml:space="preserve">MERGEFIELD DepartmentName</w:instrText>
      </w:r>
      <w:r>
        <w:rPr/>
        <w:fldChar w:fldCharType="separate"/>
      </w:r>
      <w:r>
        <w:rPr>
          <w:rFonts w:ascii="Calibri" w:hAnsi="Calibri" w:eastAsia="Calibri" w:cs="Calibri"/>
        </w:rPr>
        <w:t xml:space="preserve">«DepartmentName»</w:t>
      </w:r>
      <w:r>
        <w:rPr/>
        <w:fldChar w:fldCharType="end"/>
      </w:r>
      <w:r>
        <w:rPr>
          <w:rFonts w:ascii="Calibri" w:hAnsi="Calibri" w:eastAsia="Calibri" w:cs="Calibri"/>
        </w:rPr>
        <w:t xml:space="preserve"> department of </w:t>
      </w:r>
      <w:r>
        <w:rPr>
          <w:rFonts w:ascii="Calibri" w:hAnsi="Calibri" w:eastAsia="Calibri" w:cs="Calibri"/>
        </w:rPr>
        <w:fldChar w:fldCharType="begin"/>
      </w:r>
      <w:r>
        <w:rPr>
          <w:rFonts w:ascii="Calibri" w:hAnsi="Calibri" w:eastAsia="Calibri" w:cs="Calibri"/>
        </w:rPr>
        <w:instrText xml:space="preserve">MERGEFIELD CompanyName</w:instrText>
      </w:r>
      <w:r>
        <w:rPr/>
        <w:fldChar w:fldCharType="separate"/>
      </w:r>
      <w:r>
        <w:rPr>
          <w:rFonts w:ascii="Calibri" w:hAnsi="Calibri" w:eastAsia="Calibri" w:cs="Calibri"/>
        </w:rPr>
        <w:t xml:space="preserve">«CompanyName»</w:t>
      </w:r>
      <w:r>
        <w:rPr/>
        <w:fldChar w:fldCharType="end"/>
      </w:r>
      <w:r>
        <w:rPr>
          <w:rFonts w:ascii="Calibri" w:hAnsi="Calibri" w:eastAsia="Calibri" w:cs="Calibri"/>
        </w:rPr>
        <w:t xml:space="preserve"> (the “Organization”). It defines the responsibilities, controls, and documentation expected of every clinical and administrative staff member who performs or supports the procedure under CPT/HCPCS code </w:t>
      </w:r>
      <w:r>
        <w:rPr>
          <w:rFonts w:ascii="Calibri" w:hAnsi="Calibri" w:eastAsia="Calibri" w:cs="Calibri"/>
        </w:rPr>
        <w:fldChar w:fldCharType="begin"/>
      </w:r>
      <w:r>
        <w:rPr>
          <w:rFonts w:ascii="Calibri" w:hAnsi="Calibri" w:eastAsia="Calibri" w:cs="Calibri"/>
        </w:rPr>
        <w:instrText xml:space="preserve">MERGEFIELD ProcedureCode</w:instrText>
      </w:r>
      <w:r>
        <w:rPr/>
        <w:fldChar w:fldCharType="separate"/>
      </w:r>
      <w:r>
        <w:rPr>
          <w:rFonts w:ascii="Calibri" w:hAnsi="Calibri" w:eastAsia="Calibri" w:cs="Calibri"/>
        </w:rPr>
        <w:t xml:space="preserve">«ProcedureCode»</w:t>
      </w:r>
      <w:r>
        <w:rPr/>
        <w:fldChar w:fldCharType="end"/>
      </w:r>
      <w:r>
        <w:rPr>
          <w:rFonts w:ascii="Calibri" w:hAnsi="Calibri" w:eastAsia="Calibri" w:cs="Calibri"/>
        </w:rPr>
        <w:t xml:space="preserve">, and is effective from </w:t>
      </w:r>
      <w:r>
        <w:rPr>
          <w:rFonts w:ascii="Calibri" w:hAnsi="Calibri" w:eastAsia="Calibri" w:cs="Calibri"/>
        </w:rPr>
        <w:fldChar w:fldCharType="begin"/>
      </w:r>
      <w:r>
        <w:rPr>
          <w:rFonts w:ascii="Calibri" w:hAnsi="Calibri" w:eastAsia="Calibri" w:cs="Calibri"/>
        </w:rPr>
        <w:instrText xml:space="preserve">MERGEFIELD EffectiveDate</w:instrText>
      </w:r>
      <w:r>
        <w:rPr/>
        <w:fldChar w:fldCharType="separate"/>
      </w:r>
      <w:r>
        <w:rPr>
          <w:rFonts w:ascii="Calibri" w:hAnsi="Calibri" w:eastAsia="Calibri" w:cs="Calibri"/>
        </w:rPr>
        <w:t xml:space="preserve">«EffectiveDate»</w:t>
      </w:r>
      <w:r>
        <w:rPr/>
        <w:fldChar w:fldCharType="end"/>
      </w:r>
      <w:r>
        <w:rPr>
          <w:rFonts w:ascii="Calibri" w:hAnsi="Calibri" w:eastAsia="Calibri" w:cs="Calibri"/>
        </w:rPr>
        <w:t xml:space="preserve"> until superseded or formally retired by the Quality and Compliance Office.</w:t>
      </w:r>
      <w:bookmarkEnd w:id="3"/>
    </w:p>
    <w:p>
      <w:pPr>
        <w:spacing/>
        <w:rPr/>
      </w:pPr>
    </w:p>
    <w:p>
      <w:pPr>
        <w:spacing/>
        <w:rPr/>
      </w:pPr>
      <w:bookmarkStart w:id="4" w:name="Scope"/>
      <w:r>
        <w:rPr>
          <w:rFonts w:ascii="Calibri" w:hAnsi="Calibri" w:eastAsia="Calibri" w:cs="Calibri"/>
        </w:rPr>
        <w:t xml:space="preserve">This SOP applies to all physicians, registered nurses, advanced practice providers, medical assistants, and ancillary personnel employed by, contracted with, or privileged at the Organization who are involved in the scheduling, performance, supervision, billing, or follow-up of the procedure. It also applies to telehealth encounters conducted under the originating-site and distant-site requirements of 42 CFR §410.78 where the patient is physically located in a jurisdiction where the rendering provider is licensed to practice.</w:t>
      </w:r>
      <w:bookmarkEnd w:id="4"/>
    </w:p>
    <w:p>
      <w:pPr>
        <w:spacing/>
        <w:rPr/>
      </w:pPr>
    </w:p>
    <w:p>
      <w:pPr>
        <w:spacing/>
        <w:rPr/>
      </w:pPr>
      <w:bookmarkStart w:id="5" w:name="Definitions"/>
      <w:r>
        <w:rPr>
          <w:rFonts w:ascii="Calibri" w:hAnsi="Calibri" w:eastAsia="Calibri" w:cs="Calibri"/>
        </w:rPr>
        <w:t xml:space="preserve">For the purposes of this SOP, “Adverse Event” means any untoward medical occurrence that may present during or following the procedure and that requires intervention, documentation, or escalation. “Order” means a written, electronic, or verbal directive issued by a privileged provider that authorizes the performance of the procedure for a specific patient. “Time-Out” means the pre-procedural verification conducted with the entire clinical team to confirm patient identity, procedure, and site/side.</w:t>
      </w:r>
      <w:bookmarkEnd w:id="5"/>
    </w:p>
    <w:p>
      <w:pPr>
        <w:spacing/>
        <w:rPr/>
      </w:pPr>
    </w:p>
    <w:p>
      <w:pPr>
        <w:spacing/>
        <w:rPr/>
      </w:pPr>
      <w:r>
        <w:rPr>
          <w:rFonts w:ascii="Calibri" w:hAnsi="Calibri" w:eastAsia="Calibri" w:cs="Calibri"/>
          <w:b/>
        </w:rPr>
        <w:t xml:space="preserve">Regulatory References: </w:t>
      </w:r>
      <w:r>
        <w:rPr>
          <w:rFonts w:ascii="Calibri" w:hAnsi="Calibri" w:eastAsia="Calibri" w:cs="Calibri"/>
        </w:rPr>
        <w:t xml:space="preserve">This SOP is issued in alignment with the Centers for Medicare &amp; Medicaid Services (CMS) Conditions of Participation, The Joint Commission standards for ambulatory and hospital-based care, the Health Insurance Portability and Accountability Act (HIPAA) Privacy and Security Rules (45 CFR Parts 160 and 164), and applicable state board of medicine, nursing, and pharmacy regulations. The procedure owner is responsible for verifying the current edition of every cited reference at each scheduled review.</w:t>
      </w:r>
    </w:p>
    <w:p>
      <w:pPr>
        <w:spacing/>
        <w:rPr/>
      </w:pPr>
    </w:p>
    <w:p>
      <w:pPr>
        <w:spacing/>
        <w:rPr/>
      </w:pPr>
      <w:bookmarkStart w:id="6" w:name="Slot_PreProcedure"/>
      <w:r>
        <w:rPr>
          <w:rFonts w:ascii="Calibri" w:hAnsi="Calibri" w:eastAsia="Calibri" w:cs="Calibri"/>
          <w:b/>
        </w:rPr>
        <w:t xml:space="preserve">Pre-Procedure Requirements: </w:t>
      </w:r>
      <w:bookmarkEnd w:id="6"/>
    </w:p>
    <w:p>
      <w:pPr>
        <w:spacing/>
        <w:rPr/>
      </w:pPr>
      <w:bookmarkStart w:id="7" w:name="SlotBody_Slot_PreProcedure"/>
      <w:r>
        <w:rPr>
          <w:rFonts w:ascii="Calibri" w:hAnsi="Calibri" w:eastAsia="Calibri" w:cs="Calibri"/>
        </w:rPr>
        <w:t xml:space="preserve">Prior to initiating the procedure, the rendering clinician shall verify patient identity using two identifiers per The Joint Commission “National Patient Safety Goals”, confirm a signed and dated Order, document a pertinent history and physical within thirty (30) days of the encounter, and obtain informed consent. The clinical team shall reconcile the patient’s current medication list against the Organization’s active medication record, document any known allergies and adverse reactions, and confirm the procedure is consistent with the patient’s advance directive when an advance directive is on file.</w:t>
      </w:r>
      <w:bookmarkEnd w:id="7"/>
    </w:p>
    <w:p>
      <w:pPr>
        <w:spacing/>
        <w:rPr/>
      </w:pPr>
    </w:p>
    <w:p>
      <w:pPr>
        <w:spacing/>
        <w:rPr/>
      </w:pPr>
      <w:bookmarkStart w:id="8" w:name="Slot_ProcedureSteps"/>
      <w:r>
        <w:rPr>
          <w:rFonts w:ascii="Calibri" w:hAnsi="Calibri" w:eastAsia="Calibri" w:cs="Calibri"/>
          <w:b/>
        </w:rPr>
        <w:t xml:space="preserve">Procedure Steps: </w:t>
      </w:r>
      <w:bookmarkEnd w:id="8"/>
    </w:p>
    <w:p>
      <w:pPr>
        <w:spacing/>
        <w:rPr/>
      </w:pPr>
      <w:bookmarkStart w:id="9" w:name="SlotBody_Slot_ProcedureSteps"/>
      <w:r>
        <w:rPr>
          <w:rFonts w:ascii="Calibri" w:hAnsi="Calibri" w:eastAsia="Calibri" w:cs="Calibri"/>
        </w:rPr>
        <w:t xml:space="preserve">Following the pre-procedure verification, the rendering clinician shall perform a Time-Out with all members of the immediate care team to confirm patient identity, planned procedure, and laterality where applicable. The procedure shall then be performed in accordance with the manufacturer’s Instructions for Use, peer-reviewed clinical practice guidelines, and any procedure-specific checklist maintained in the Organization’s clinical content management system. Vital signs, sedation depth (where applicable), and the patient’s tolerance of the procedure shall be documented at intervals consistent with the patient’s condition.</w:t>
      </w:r>
      <w:bookmarkEnd w:id="9"/>
    </w:p>
    <w:p>
      <w:pPr>
        <w:spacing/>
        <w:rPr/>
      </w:pPr>
    </w:p>
    <w:p>
      <w:pPr>
        <w:spacing/>
        <w:rPr/>
      </w:pPr>
      <w:bookmarkStart w:id="10" w:name="Slot_PostProcedure"/>
      <w:r>
        <w:rPr>
          <w:rFonts w:ascii="Calibri" w:hAnsi="Calibri" w:eastAsia="Calibri" w:cs="Calibri"/>
          <w:b/>
        </w:rPr>
        <w:t xml:space="preserve">Post-Procedure &amp; Documentation: </w:t>
      </w:r>
      <w:bookmarkEnd w:id="10"/>
    </w:p>
    <w:p>
      <w:pPr>
        <w:spacing/>
        <w:rPr/>
      </w:pPr>
      <w:bookmarkStart w:id="11" w:name="SlotBody_Slot_PostProcedure"/>
      <w:r>
        <w:rPr>
          <w:rFonts w:ascii="Calibri" w:hAnsi="Calibri" w:eastAsia="Calibri" w:cs="Calibri"/>
        </w:rPr>
        <w:t xml:space="preserve">Upon completion of the procedure, the rendering clinician shall dictate or otherwise document an operative note that includes the pre-operative and post-operative diagnoses, the procedure performed, findings, specimens collected, estimated blood loss (where applicable), complications, and the disposition of the patient. The note shall be entered into the electronic health record within twenty-four (24) hours of the encounter. Discharge instructions shall be provided in the patient’s primary language and shall include return precautions, follow-up appointments, and a contact number for after-hours clinical questions.</w:t>
      </w:r>
      <w:bookmarkEnd w:id="11"/>
    </w:p>
    <w:p>
      <w:pPr>
        <w:spacing/>
        <w:rPr/>
      </w:pPr>
    </w:p>
    <w:p>
      <w:pPr>
        <w:spacing/>
        <w:rPr/>
      </w:pPr>
      <w:bookmarkStart w:id="12" w:name="Slot_AdverseEvent"/>
      <w:r>
        <w:rPr>
          <w:rFonts w:ascii="Calibri" w:hAnsi="Calibri" w:eastAsia="Calibri" w:cs="Calibri"/>
          <w:b/>
        </w:rPr>
        <w:t xml:space="preserve">Adverse Event Reporting: </w:t>
      </w:r>
      <w:bookmarkEnd w:id="12"/>
    </w:p>
    <w:p>
      <w:pPr>
        <w:spacing/>
        <w:rPr/>
      </w:pPr>
      <w:bookmarkStart w:id="13" w:name="SlotBody_Slot_AdverseEvent"/>
      <w:r>
        <w:rPr>
          <w:rFonts w:ascii="Calibri" w:hAnsi="Calibri" w:eastAsia="Calibri" w:cs="Calibri"/>
        </w:rPr>
        <w:t xml:space="preserve">Any Adverse Event that occurs during, or is identified within thirty (30) days following, the procedure shall be documented in the safety event reporting system within twenty-four (24) hours of discovery and shall be escalated to the procedure owner and the Organization’s Risk Management department. Events that meet the FDA MedWatch criteria for a serious or unexpected adverse event shall additionally be reported to the manufacturer and the U.S. Food and Drug Administration in accordance with 21 CFR Part 803. Suspected healthcare-associated infections shall be reported to the Infection Prevention and Control team in accordance with the Organization’s infection surveillance plan.</w:t>
      </w:r>
      <w:bookmarkEnd w:id="13"/>
    </w:p>
    <w:p>
      <w:pPr>
        <w:spacing/>
        <w:rPr/>
      </w:pPr>
    </w:p>
    <w:p>
      <w:pPr>
        <w:spacing/>
        <w:rPr/>
      </w:pPr>
      <w:bookmarkStart w:id="14" w:name="Slot_Quality"/>
      <w:r>
        <w:rPr>
          <w:rFonts w:ascii="Calibri" w:hAnsi="Calibri" w:eastAsia="Calibri" w:cs="Calibri"/>
          <w:b/>
        </w:rPr>
        <w:t xml:space="preserve">Quality Monitoring: </w:t>
      </w:r>
      <w:bookmarkEnd w:id="14"/>
    </w:p>
    <w:p>
      <w:pPr>
        <w:spacing/>
        <w:rPr/>
      </w:pPr>
      <w:bookmarkStart w:id="15" w:name="SlotBody_Slot_Quality"/>
      <w:r>
        <w:rPr>
          <w:rFonts w:ascii="Calibri" w:hAnsi="Calibri" w:eastAsia="Calibri" w:cs="Calibri"/>
        </w:rPr>
        <w:t xml:space="preserve">The procedure owner, in coordination with the Quality and Compliance Office, shall review adherence to this SOP on a “quarterly” cycle, or more frequently when a sentinel event, regulatory update, or material change in clinical practice warrants. Indicators shall include, at minimum, the rate of completed Time-Out documentation, the rate of operative-note completion within twenty-four (24) hours, the rate of Adverse Events per 100 procedures, and the rate of patient complaints related to consent or communication. Results shall be reported to the Medical Executive Committee at each regularly scheduled meeting.</w:t>
      </w:r>
      <w:bookmarkEnd w:id="15"/>
    </w:p>
    <w:p>
      <w:pPr>
        <w:spacing/>
        <w:rPr/>
      </w:pPr>
    </w:p>
    <w:p>
      <w:pPr>
        <w:spacing/>
        <w:rPr/>
      </w:pPr>
      <w:r>
        <w:rPr>
          <w:rFonts w:ascii="Calibri" w:hAnsi="Calibri" w:eastAsia="Calibri" w:cs="Calibri"/>
          <w:b/>
        </w:rPr>
        <w:t xml:space="preserve">Review Cycle: </w:t>
      </w:r>
      <w:r>
        <w:rPr>
          <w:rFonts w:ascii="Calibri" w:hAnsi="Calibri" w:eastAsia="Calibri" w:cs="Calibri"/>
        </w:rPr>
        <w:t xml:space="preserve">This SOP shall be reviewed at minimum every </w:t>
      </w:r>
      <w:r>
        <w:rPr>
          <w:rFonts w:ascii="Calibri" w:hAnsi="Calibri" w:eastAsia="Calibri" w:cs="Calibri"/>
        </w:rPr>
        <w:fldChar w:fldCharType="begin"/>
      </w:r>
      <w:r>
        <w:rPr>
          <w:rFonts w:ascii="Calibri" w:hAnsi="Calibri" w:eastAsia="Calibri" w:cs="Calibri"/>
        </w:rPr>
        <w:instrText xml:space="preserve">MERGEFIELD ReviewCycle</w:instrText>
      </w:r>
      <w:r>
        <w:rPr/>
        <w:fldChar w:fldCharType="separate"/>
      </w:r>
      <w:r>
        <w:rPr>
          <w:rFonts w:ascii="Calibri" w:hAnsi="Calibri" w:eastAsia="Calibri" w:cs="Calibri"/>
        </w:rPr>
        <w:t xml:space="preserve">«ReviewCycle»</w:t>
      </w:r>
      <w:r>
        <w:rPr/>
        <w:fldChar w:fldCharType="end"/>
      </w:r>
      <w:r>
        <w:rPr>
          <w:rFonts w:ascii="Calibri" w:hAnsi="Calibri" w:eastAsia="Calibri" w:cs="Calibri"/>
        </w:rPr>
        <w:t xml:space="preserve"> by the procedure owner and the Quality and Compliance Office. Each review shall confirm alignment with current regulatory and accreditation requirements, document any deviation between written procedure and observed practice, and result in a version-controlled revision that is communicated to all affected staff through the Organization’s learning management system. The procedure owner is responsible for initiating the review on or before the anniversary of the effective date.</w:t>
      </w:r>
    </w:p>
    <w:p>
      <w:pPr>
        <w:spacing/>
        <w:rPr/>
      </w:pPr>
    </w:p>
    <w:p>
      <w:pPr>
        <w:spacing/>
        <w:rPr/>
      </w:pPr>
    </w:p>
    <w:p>
      <w:pPr>
        <w:spacing/>
        <w:rPr/>
      </w:pPr>
      <w:bookmarkStart w:id="16" w:name="SignatureBlock_Healthcare"/>
      <w:r>
        <w:rPr>
          <w:rFonts w:ascii="Calibri" w:hAnsi="Calibri" w:eastAsia="Calibri" w:cs="Calibri"/>
        </w:rPr>
        <w:t xml:space="preserve">[Signature Pad Placeholder — image signature inserted here]</w:t>
      </w:r>
      <w:bookmarkEnd w:id="16"/>
    </w:p>
    <w:p>
      <w:pPr>
        <w:spacing/>
        <w:rPr/>
      </w:pPr>
    </w:p>
    <w:p>
      <w:pPr>
        <w:spacing/>
        <w:rPr/>
      </w:pPr>
      <w:r>
        <w:rPr>
          <w:rFonts w:ascii="Calibri" w:hAnsi="Calibri" w:eastAsia="Calibri" w:cs="Calibri"/>
        </w:rPr>
        <w:t xml:space="preserve">Signed by: _______________________     Date: ____________</w:t>
      </w:r>
    </w:p>
    <w:sectPr>
      <w:type w:val="nextPage"/>
      <w:pgSz w:w="11906" w:h="16838"/>
      <w:pgMar w:top="400" w:right="400" w:bottom="400" w:left="1000" w:gutter="0"/>
      <w:pgBorders/>
      <w:pgNumType w:fmt="decimal"/>
      <w:cols w:equalWidth="1" w:space="720"/>
    </w:sectPr>
  </w:body>
</w:document>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rPr>
    </w:rPrDefault>
    <w:pPrDefault/>
  </w:docDefaults>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 w:default="1">
    <w:name w:val="Normal"/>
    <w:pPr>
      <w:spacing/>
    </w:pPr>
    <w:rPr>
      <w:rFonts w:ascii="Calibri" w:hAnsi="Calibri" w:eastAsia="Calibri" w:cs="Calibri"/>
      <w:sz w:val="22"/>
      <w:szCs w:val="24"/>
      <w:lang w:val="en-US" w:eastAsia="zh-TW" w:bidi="ar-SA"/>
    </w:rPr>
  </w:style>
  <w:style w:type="character" w:styleId="DefaultParagraphFont" w:default="1">
    <w:name w:val="Default Paragraph Font"/>
    <w:semiHidden/>
    <w:unhideWhenUsed/>
    <w:rPr/>
  </w:style>
</w:styles>
</file>

<file path=word/_rels/document.xml.rels>&#65279;<?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2026-09-25T12:24:45Z</dcterms:created>
  <dcterms:modified xsi:type="dcterms:W3CDTF">2026-09-25T12:24:45Z</dcterms:modified>
</cp:coreProperties>
</file>