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spacing/>
        <w:rPr/>
      </w:pPr>
      <w:bookmarkStart w:id="2" w:name="Title_laboratory"/>
      <w:r>
        <w:rPr>
          <w:rFonts w:ascii="Calibri" w:hAnsi="Calibri" w:eastAsia="Calibri" w:cs="Calibri"/>
          <w:b/>
          <w:sz w:val="36"/>
        </w:rPr>
        <w:t xml:space="preserve">Standard Operating Procedure — Laboratory Test Method</w:t>
      </w:r>
      <w:bookmarkEnd w:id="2"/>
    </w:p>
    <w:p>
      <w:pPr>
        <w:spacing/>
        <w:rPr/>
      </w:pPr>
    </w:p>
    <w:p>
      <w:pPr>
        <w:spacing/>
        <w:rPr/>
      </w:pPr>
      <w:r>
        <w:rPr>
          <w:rFonts w:ascii="Calibri" w:hAnsi="Calibri" w:eastAsia="Calibri" w:cs="Calibri"/>
          <w:b/>
        </w:rPr>
        <w:t xml:space="preserve">Effective Date: </w:t>
      </w:r>
      <w:r>
        <w:rPr>
          <w:rFonts w:ascii="Calibri" w:hAnsi="Calibri" w:eastAsia="Calibri" w:cs="Calibri"/>
        </w:rPr>
        <w:fldChar w:fldCharType="begin"/>
      </w:r>
      <w:r>
        <w:rPr>
          <w:rFonts w:ascii="Calibri" w:hAnsi="Calibri" w:eastAsia="Calibri" w:cs="Calibri"/>
        </w:rPr>
        <w:instrText xml:space="preserve">MERGEFIELD EffectiveDate</w:instrText>
      </w:r>
      <w:r>
        <w:rPr/>
        <w:fldChar w:fldCharType="separate"/>
      </w:r>
      <w:r>
        <w:rPr>
          <w:rFonts w:ascii="Calibri" w:hAnsi="Calibri" w:eastAsia="Calibri" w:cs="Calibri"/>
        </w:rPr>
        <w:t xml:space="preserve">«EffectiveDate»</w:t>
      </w:r>
      <w:r>
        <w:rPr/>
        <w:fldChar w:fldCharType="end"/>
      </w:r>
    </w:p>
    <w:p>
      <w:pPr>
        <w:spacing/>
        <w:rPr/>
      </w:pPr>
      <w:r>
        <w:rPr>
          <w:rFonts w:ascii="Calibri" w:hAnsi="Calibri" w:eastAsia="Calibri" w:cs="Calibri"/>
          <w:b/>
        </w:rPr>
        <w:t xml:space="preserve">Testing Laboratory: </w:t>
      </w:r>
      <w:r>
        <w:rPr>
          <w:rFonts w:ascii="Calibri" w:hAnsi="Calibri" w:eastAsia="Calibri" w:cs="Calibri"/>
        </w:rPr>
        <w:fldChar w:fldCharType="begin"/>
      </w:r>
      <w:r>
        <w:rPr>
          <w:rFonts w:ascii="Calibri" w:hAnsi="Calibri" w:eastAsia="Calibri" w:cs="Calibri"/>
        </w:rPr>
        <w:instrText xml:space="preserve">MERGEFIELD CompanyName</w:instrText>
      </w:r>
      <w:r>
        <w:rPr/>
        <w:fldChar w:fldCharType="separate"/>
      </w:r>
      <w:r>
        <w:rPr>
          <w:rFonts w:ascii="Calibri" w:hAnsi="Calibri" w:eastAsia="Calibri" w:cs="Calibri"/>
        </w:rPr>
        <w:t xml:space="preserve">«CompanyName»</w:t>
      </w:r>
      <w:r>
        <w:rPr/>
        <w:fldChar w:fldCharType="end"/>
      </w:r>
    </w:p>
    <w:p>
      <w:pPr>
        <w:spacing/>
        <w:rPr/>
      </w:pPr>
      <w:r>
        <w:rPr>
          <w:rFonts w:ascii="Calibri" w:hAnsi="Calibri" w:eastAsia="Calibri" w:cs="Calibri"/>
          <w:b/>
        </w:rPr>
        <w:t xml:space="preserve">Method Author / Reviewer: </w:t>
      </w:r>
      <w:r>
        <w:rPr>
          <w:rFonts w:ascii="Calibri" w:hAnsi="Calibri" w:eastAsia="Calibri" w:cs="Calibri"/>
        </w:rPr>
        <w:fldChar w:fldCharType="begin"/>
      </w:r>
      <w:r>
        <w:rPr>
          <w:rFonts w:ascii="Calibri" w:hAnsi="Calibri" w:eastAsia="Calibri" w:cs="Calibri"/>
        </w:rPr>
        <w:instrText xml:space="preserve">MERGEFIELD CustomerContact</w:instrText>
      </w:r>
      <w:r>
        <w:rPr/>
        <w:fldChar w:fldCharType="separate"/>
      </w:r>
      <w:r>
        <w:rPr>
          <w:rFonts w:ascii="Calibri" w:hAnsi="Calibri" w:eastAsia="Calibri" w:cs="Calibri"/>
        </w:rPr>
        <w:t xml:space="preserve">«CustomerContact»</w:t>
      </w:r>
      <w:r>
        <w:rPr/>
        <w:fldChar w:fldCharType="end"/>
      </w:r>
    </w:p>
    <w:p>
      <w:pPr>
        <w:spacing/>
        <w:rPr/>
      </w:pPr>
      <w:r>
        <w:rPr>
          <w:rFonts w:ascii="Calibri" w:hAnsi="Calibri" w:eastAsia="Calibri" w:cs="Calibri"/>
          <w:b/>
        </w:rPr>
        <w:t xml:space="preserve">Test Method Identifier: </w:t>
      </w:r>
      <w:r>
        <w:rPr>
          <w:rFonts w:ascii="Calibri" w:hAnsi="Calibri" w:eastAsia="Calibri" w:cs="Calibri"/>
        </w:rPr>
        <w:fldChar w:fldCharType="begin"/>
      </w:r>
      <w:r>
        <w:rPr>
          <w:rFonts w:ascii="Calibri" w:hAnsi="Calibri" w:eastAsia="Calibri" w:cs="Calibri"/>
        </w:rPr>
        <w:instrText xml:space="preserve">MERGEFIELD TestMethod</w:instrText>
      </w:r>
      <w:r>
        <w:rPr/>
        <w:fldChar w:fldCharType="separate"/>
      </w:r>
      <w:r>
        <w:rPr>
          <w:rFonts w:ascii="Calibri" w:hAnsi="Calibri" w:eastAsia="Calibri" w:cs="Calibri"/>
        </w:rPr>
        <w:t xml:space="preserve">«TestMethod»</w:t>
      </w:r>
      <w:r>
        <w:rPr/>
        <w:fldChar w:fldCharType="end"/>
      </w:r>
    </w:p>
    <w:p>
      <w:pPr>
        <w:spacing/>
        <w:rPr/>
      </w:pPr>
      <w:r>
        <w:rPr>
          <w:rFonts w:ascii="Calibri" w:hAnsi="Calibri" w:eastAsia="Calibri" w:cs="Calibri"/>
          <w:b/>
        </w:rPr>
        <w:t xml:space="preserve">Accreditation Scope: </w:t>
      </w:r>
      <w:r>
        <w:rPr>
          <w:rFonts w:ascii="Calibri" w:hAnsi="Calibri" w:eastAsia="Calibri" w:cs="Calibri"/>
        </w:rPr>
        <w:fldChar w:fldCharType="begin"/>
      </w:r>
      <w:r>
        <w:rPr>
          <w:rFonts w:ascii="Calibri" w:hAnsi="Calibri" w:eastAsia="Calibri" w:cs="Calibri"/>
        </w:rPr>
        <w:instrText xml:space="preserve">MERGEFIELD Accreditation</w:instrText>
      </w:r>
      <w:r>
        <w:rPr/>
        <w:fldChar w:fldCharType="separate"/>
      </w:r>
      <w:r>
        <w:rPr>
          <w:rFonts w:ascii="Calibri" w:hAnsi="Calibri" w:eastAsia="Calibri" w:cs="Calibri"/>
        </w:rPr>
        <w:t xml:space="preserve">«Accreditation»</w:t>
      </w:r>
      <w:r>
        <w:rPr/>
        <w:fldChar w:fldCharType="end"/>
      </w:r>
    </w:p>
    <w:p>
      <w:pPr>
        <w:spacing/>
        <w:rPr/>
      </w:pPr>
    </w:p>
    <w:p>
      <w:pPr>
        <w:spacing/>
        <w:rPr/>
      </w:pPr>
      <w:bookmarkStart w:id="3" w:name="Purpose"/>
      <w:r>
        <w:rPr>
          <w:rFonts w:ascii="Calibri" w:hAnsi="Calibri" w:eastAsia="Calibri" w:cs="Calibri"/>
        </w:rPr>
        <w:t xml:space="preserve">This Standard Operating Procedure (the “SOP”) defines the technical procedure, controls, and quality assurance requirements for performing test method </w:t>
      </w:r>
      <w:r>
        <w:rPr>
          <w:rFonts w:ascii="Calibri" w:hAnsi="Calibri" w:eastAsia="Calibri" w:cs="Calibri"/>
        </w:rPr>
        <w:fldChar w:fldCharType="begin"/>
      </w:r>
      <w:r>
        <w:rPr>
          <w:rFonts w:ascii="Calibri" w:hAnsi="Calibri" w:eastAsia="Calibri" w:cs="Calibri"/>
        </w:rPr>
        <w:instrText xml:space="preserve">MERGEFIELD TestMethod</w:instrText>
      </w:r>
      <w:r>
        <w:rPr/>
        <w:fldChar w:fldCharType="separate"/>
      </w:r>
      <w:r>
        <w:rPr>
          <w:rFonts w:ascii="Calibri" w:hAnsi="Calibri" w:eastAsia="Calibri" w:cs="Calibri"/>
        </w:rPr>
        <w:t xml:space="preserve">«TestMethod»</w:t>
      </w:r>
      <w:r>
        <w:rPr/>
        <w:fldChar w:fldCharType="end"/>
      </w:r>
      <w:r>
        <w:rPr>
          <w:rFonts w:ascii="Calibri" w:hAnsi="Calibri" w:eastAsia="Calibri" w:cs="Calibri"/>
        </w:rPr>
        <w:t xml:space="preserve"> at the testing laboratory operated by </w:t>
      </w:r>
      <w:r>
        <w:rPr>
          <w:rFonts w:ascii="Calibri" w:hAnsi="Calibri" w:eastAsia="Calibri" w:cs="Calibri"/>
        </w:rPr>
        <w:fldChar w:fldCharType="begin"/>
      </w:r>
      <w:r>
        <w:rPr>
          <w:rFonts w:ascii="Calibri" w:hAnsi="Calibri" w:eastAsia="Calibri" w:cs="Calibri"/>
        </w:rPr>
        <w:instrText xml:space="preserve">MERGEFIELD CompanyName</w:instrText>
      </w:r>
      <w:r>
        <w:rPr/>
        <w:fldChar w:fldCharType="separate"/>
      </w:r>
      <w:r>
        <w:rPr>
          <w:rFonts w:ascii="Calibri" w:hAnsi="Calibri" w:eastAsia="Calibri" w:cs="Calibri"/>
        </w:rPr>
        <w:t xml:space="preserve">«CompanyName»</w:t>
      </w:r>
      <w:r>
        <w:rPr/>
        <w:fldChar w:fldCharType="end"/>
      </w:r>
      <w:r>
        <w:rPr>
          <w:rFonts w:ascii="Calibri" w:hAnsi="Calibri" w:eastAsia="Calibri" w:cs="Calibri"/>
        </w:rPr>
        <w:t xml:space="preserve"> (the “Laboratory”). The SOP is effective from </w:t>
      </w:r>
      <w:r>
        <w:rPr>
          <w:rFonts w:ascii="Calibri" w:hAnsi="Calibri" w:eastAsia="Calibri" w:cs="Calibri"/>
        </w:rPr>
        <w:fldChar w:fldCharType="begin"/>
      </w:r>
      <w:r>
        <w:rPr>
          <w:rFonts w:ascii="Calibri" w:hAnsi="Calibri" w:eastAsia="Calibri" w:cs="Calibri"/>
        </w:rPr>
        <w:instrText xml:space="preserve">MERGEFIELD EffectiveDate</w:instrText>
      </w:r>
      <w:r>
        <w:rPr/>
        <w:fldChar w:fldCharType="separate"/>
      </w:r>
      <w:r>
        <w:rPr>
          <w:rFonts w:ascii="Calibri" w:hAnsi="Calibri" w:eastAsia="Calibri" w:cs="Calibri"/>
        </w:rPr>
        <w:t xml:space="preserve">«EffectiveDate»</w:t>
      </w:r>
      <w:r>
        <w:rPr/>
        <w:fldChar w:fldCharType="end"/>
      </w:r>
      <w:r>
        <w:rPr>
          <w:rFonts w:ascii="Calibri" w:hAnsi="Calibri" w:eastAsia="Calibri" w:cs="Calibri"/>
        </w:rPr>
        <w:t xml:space="preserve"> and is issued to ensure that every result reported by the Laboratory is scientifically valid, traceable to documented reference standards, and defensible under audit by the accreditation body identified below.</w:t>
      </w:r>
      <w:bookmarkEnd w:id="3"/>
    </w:p>
    <w:p>
      <w:pPr>
        <w:spacing/>
        <w:rPr/>
      </w:pPr>
    </w:p>
    <w:p>
      <w:pPr>
        <w:spacing/>
        <w:rPr/>
      </w:pPr>
      <w:bookmarkStart w:id="4" w:name="Scope"/>
      <w:r>
        <w:rPr>
          <w:rFonts w:ascii="Calibri" w:hAnsi="Calibri" w:eastAsia="Calibri" w:cs="Calibri"/>
        </w:rPr>
        <w:t xml:space="preserve">This SOP applies to all analytical work performed under test method </w:t>
      </w:r>
      <w:r>
        <w:rPr>
          <w:rFonts w:ascii="Calibri" w:hAnsi="Calibri" w:eastAsia="Calibri" w:cs="Calibri"/>
        </w:rPr>
        <w:fldChar w:fldCharType="begin"/>
      </w:r>
      <w:r>
        <w:rPr>
          <w:rFonts w:ascii="Calibri" w:hAnsi="Calibri" w:eastAsia="Calibri" w:cs="Calibri"/>
        </w:rPr>
        <w:instrText xml:space="preserve">MERGEFIELD TestMethod</w:instrText>
      </w:r>
      <w:r>
        <w:rPr/>
        <w:fldChar w:fldCharType="separate"/>
      </w:r>
      <w:r>
        <w:rPr>
          <w:rFonts w:ascii="Calibri" w:hAnsi="Calibri" w:eastAsia="Calibri" w:cs="Calibri"/>
        </w:rPr>
        <w:t xml:space="preserve">«TestMethod»</w:t>
      </w:r>
      <w:r>
        <w:rPr/>
        <w:fldChar w:fldCharType="end"/>
      </w:r>
      <w:r>
        <w:rPr>
          <w:rFonts w:ascii="Calibri" w:hAnsi="Calibri" w:eastAsia="Calibri" w:cs="Calibri"/>
        </w:rPr>
        <w:t xml:space="preserve">, including sample receipt and login, reagent and standard preparation, instrument calibration and verification, sample analysis, data reduction, result review and approval, and the release of the test report to the client. It applies to the Laboratory’s primary site and to any satellite, mobile, or remote facility operating under the same quality system. Where the Laboratory subcontracts any portion of the work, the subcontracting laboratory shall be ISO/IEC 17025 accredited for the subcontracted activity and the subcontracting arrangement shall be documented in the case file.</w:t>
      </w:r>
      <w:bookmarkEnd w:id="4"/>
    </w:p>
    <w:p>
      <w:pPr>
        <w:spacing/>
        <w:rPr/>
      </w:pPr>
    </w:p>
    <w:p>
      <w:pPr>
        <w:spacing/>
        <w:rPr/>
      </w:pPr>
      <w:bookmarkStart w:id="5" w:name="References"/>
      <w:r>
        <w:rPr>
          <w:rFonts w:ascii="Calibri" w:hAnsi="Calibri" w:eastAsia="Calibri" w:cs="Calibri"/>
        </w:rPr>
        <w:t xml:space="preserve">This SOP is issued in alignment with ISO/IEC 17025:2017 “General requirements for the competence of testing and calibration laboratories”, the U.S. Pharmacopeia General Chapter &lt;1220&gt; “The Analytical Procedure Lifecycle” where the method supports a regulated product, and the published reference method on which test method </w:t>
      </w:r>
      <w:r>
        <w:rPr>
          <w:rFonts w:ascii="Calibri" w:hAnsi="Calibri" w:eastAsia="Calibri" w:cs="Calibri"/>
        </w:rPr>
        <w:fldChar w:fldCharType="begin"/>
      </w:r>
      <w:r>
        <w:rPr>
          <w:rFonts w:ascii="Calibri" w:hAnsi="Calibri" w:eastAsia="Calibri" w:cs="Calibri"/>
        </w:rPr>
        <w:instrText xml:space="preserve">MERGEFIELD TestMethod</w:instrText>
      </w:r>
      <w:r>
        <w:rPr/>
        <w:fldChar w:fldCharType="separate"/>
      </w:r>
      <w:r>
        <w:rPr>
          <w:rFonts w:ascii="Calibri" w:hAnsi="Calibri" w:eastAsia="Calibri" w:cs="Calibri"/>
        </w:rPr>
        <w:t xml:space="preserve">«TestMethod»</w:t>
      </w:r>
      <w:r>
        <w:rPr/>
        <w:fldChar w:fldCharType="end"/>
      </w:r>
      <w:r>
        <w:rPr>
          <w:rFonts w:ascii="Calibri" w:hAnsi="Calibri" w:eastAsia="Calibri" w:cs="Calibri"/>
        </w:rPr>
        <w:t xml:space="preserve"> is based. Where regulatory or compendial requirements conflict with this SOP, the more stringent requirement shall apply and the deviation shall be documented in the Laboratory’s deviation log.</w:t>
      </w:r>
      <w:bookmarkEnd w:id="5"/>
    </w:p>
    <w:p>
      <w:pPr>
        <w:spacing/>
        <w:rPr/>
      </w:pPr>
    </w:p>
    <w:p>
      <w:pPr>
        <w:spacing/>
        <w:rPr/>
      </w:pPr>
      <w:r>
        <w:rPr>
          <w:rFonts w:ascii="Calibri" w:hAnsi="Calibri" w:eastAsia="Calibri" w:cs="Calibri"/>
          <w:b/>
        </w:rPr>
        <w:t xml:space="preserve">Accreditation: </w:t>
      </w:r>
      <w:r>
        <w:rPr>
          <w:rFonts w:ascii="Calibri" w:hAnsi="Calibri" w:eastAsia="Calibri" w:cs="Calibri"/>
        </w:rPr>
        <w:t xml:space="preserve">This SOP supports the Laboratory’s accreditation under </w:t>
      </w:r>
      <w:r>
        <w:rPr>
          <w:rFonts w:ascii="Calibri" w:hAnsi="Calibri" w:eastAsia="Calibri" w:cs="Calibri"/>
        </w:rPr>
        <w:fldChar w:fldCharType="begin"/>
      </w:r>
      <w:r>
        <w:rPr>
          <w:rFonts w:ascii="Calibri" w:hAnsi="Calibri" w:eastAsia="Calibri" w:cs="Calibri"/>
        </w:rPr>
        <w:instrText xml:space="preserve">MERGEFIELD Accreditation</w:instrText>
      </w:r>
      <w:r>
        <w:rPr/>
        <w:fldChar w:fldCharType="separate"/>
      </w:r>
      <w:r>
        <w:rPr>
          <w:rFonts w:ascii="Calibri" w:hAnsi="Calibri" w:eastAsia="Calibri" w:cs="Calibri"/>
        </w:rPr>
        <w:t xml:space="preserve">«Accreditation»</w:t>
      </w:r>
      <w:r>
        <w:rPr/>
        <w:fldChar w:fldCharType="end"/>
      </w:r>
      <w:r>
        <w:rPr>
          <w:rFonts w:ascii="Calibri" w:hAnsi="Calibri" w:eastAsia="Calibri" w:cs="Calibri"/>
        </w:rPr>
        <w:t xml:space="preserve">. The Laboratory shall not claim accreditation for the test method unless the scope of accreditation expressly includes the analyte, matrix, and technique described in this SOP, and the analyst performing the work has been qualified and is current on the proficiency-testing program for the method.</w:t>
      </w:r>
    </w:p>
    <w:p>
      <w:pPr>
        <w:spacing/>
        <w:rPr/>
      </w:pPr>
    </w:p>
    <w:p>
      <w:pPr>
        <w:spacing/>
        <w:rPr/>
      </w:pPr>
      <w:bookmarkStart w:id="6" w:name="Slot_SampleReceipt"/>
      <w:r>
        <w:rPr>
          <w:rFonts w:ascii="Calibri" w:hAnsi="Calibri" w:eastAsia="Calibri" w:cs="Calibri"/>
          <w:b/>
        </w:rPr>
        <w:t xml:space="preserve">Sample Receipt &amp; Acceptance: </w:t>
      </w:r>
      <w:bookmarkEnd w:id="6"/>
    </w:p>
    <w:p>
      <w:pPr>
        <w:spacing/>
        <w:rPr/>
      </w:pPr>
      <w:bookmarkStart w:id="7" w:name="SlotBody_Slot_SampleReceipt"/>
      <w:r>
        <w:rPr>
          <w:rFonts w:ascii="Calibri" w:hAnsi="Calibri" w:eastAsia="Calibri" w:cs="Calibri"/>
        </w:rPr>
        <w:t xml:space="preserve">Samples shall be received and logged in the Laboratory Information Management System (LIMS) with a unique accession identifier. Each sample shall be inspected against the acceptance criteria defined in the Laboratory’s sample acceptance policy, including container integrity, sample temperature on receipt (where temperature control is required), chain-of-custody completeness, and holding-time compliance. Samples that do not meet acceptance criteria shall be rejected or qualified in writing prior to analysis, and the disposition shall be communicated to the client within one (1) business day.</w:t>
      </w:r>
      <w:bookmarkEnd w:id="7"/>
    </w:p>
    <w:p>
      <w:pPr>
        <w:spacing/>
        <w:rPr/>
      </w:pPr>
    </w:p>
    <w:p>
      <w:pPr>
        <w:spacing/>
        <w:rPr/>
      </w:pPr>
      <w:bookmarkStart w:id="8" w:name="Slot_Reagents"/>
      <w:r>
        <w:rPr>
          <w:rFonts w:ascii="Calibri" w:hAnsi="Calibri" w:eastAsia="Calibri" w:cs="Calibri"/>
          <w:b/>
        </w:rPr>
        <w:t xml:space="preserve">Reagents, Standards &amp; Reference Materials: </w:t>
      </w:r>
      <w:bookmarkEnd w:id="8"/>
    </w:p>
    <w:p>
      <w:pPr>
        <w:spacing/>
        <w:rPr/>
      </w:pPr>
      <w:bookmarkStart w:id="9" w:name="SlotBody_Slot_Reagents"/>
      <w:r>
        <w:rPr>
          <w:rFonts w:ascii="Calibri" w:hAnsi="Calibri" w:eastAsia="Calibri" w:cs="Calibri"/>
        </w:rPr>
        <w:t xml:space="preserve">All reagents, calibration standards, and certified reference materials shall be received with a manufacturer’s Certificate of Analysis that is reviewed and filed in the LIMS. Reagents and standards shall be stored under the conditions specified by the manufacturer, shall be assigned an expiration date no later than the earliest manufacturer’s expiration among any component, and shall be discarded at expiration or upon evidence of deterioration, whichever is earlier. Working standards shall be prepared from certified reference materials using Class A volumetric glassware or calibrated pipettes, and each preparation shall be witnessed and counter-signed by a second qualified analyst.</w:t>
      </w:r>
      <w:bookmarkEnd w:id="9"/>
    </w:p>
    <w:p>
      <w:pPr>
        <w:spacing/>
        <w:rPr/>
      </w:pPr>
    </w:p>
    <w:p>
      <w:pPr>
        <w:spacing/>
        <w:rPr/>
      </w:pPr>
      <w:bookmarkStart w:id="10" w:name="Slot_Calibration"/>
      <w:r>
        <w:rPr>
          <w:rFonts w:ascii="Calibri" w:hAnsi="Calibri" w:eastAsia="Calibri" w:cs="Calibri"/>
          <w:b/>
        </w:rPr>
        <w:t xml:space="preserve">Calibration &amp; Quality Control: </w:t>
      </w:r>
      <w:bookmarkEnd w:id="10"/>
    </w:p>
    <w:p>
      <w:pPr>
        <w:spacing/>
        <w:rPr/>
      </w:pPr>
      <w:bookmarkStart w:id="11" w:name="SlotBody_Slot_Calibration"/>
      <w:r>
        <w:rPr>
          <w:rFonts w:ascii="Calibri" w:hAnsi="Calibri" w:eastAsia="Calibri" w:cs="Calibri"/>
        </w:rPr>
        <w:t xml:space="preserve">Prior to each analytical batch, the analyst shall perform an instrument calibration using a minimum of five calibration levels bracketing the expected concentration range, with a correlation coefficient of not less than 0.995 unless the reference method specifies a more stringent acceptance criterion. Each analytical batch shall include a method blank, a continuing calibration verification (CCV) at a concentration near the midpoint of the calibration range, a laboratory control sample (LCS) at a known concentration, and a matrix spike / matrix spike duplicate (MS/MSD) for every twenty (20) or fewer field samples. Acceptance criteria and corrective actions for out-of-control results shall be those defined in the Laboratory’s QC policy.</w:t>
      </w:r>
      <w:bookmarkEnd w:id="11"/>
    </w:p>
    <w:p>
      <w:pPr>
        <w:spacing/>
        <w:rPr/>
      </w:pPr>
    </w:p>
    <w:p>
      <w:pPr>
        <w:spacing/>
        <w:rPr/>
      </w:pPr>
      <w:bookmarkStart w:id="12" w:name="Slot_DataReporting"/>
      <w:r>
        <w:rPr>
          <w:rFonts w:ascii="Calibri" w:hAnsi="Calibri" w:eastAsia="Calibri" w:cs="Calibri"/>
          <w:b/>
        </w:rPr>
        <w:t xml:space="preserve">Data Analysis &amp; Reporting: </w:t>
      </w:r>
      <w:bookmarkEnd w:id="12"/>
    </w:p>
    <w:p>
      <w:pPr>
        <w:spacing/>
        <w:rPr/>
      </w:pPr>
      <w:bookmarkStart w:id="13" w:name="SlotBody_Slot_DataReporting"/>
      <w:r>
        <w:rPr>
          <w:rFonts w:ascii="Calibri" w:hAnsi="Calibri" w:eastAsia="Calibri" w:cs="Calibri"/>
        </w:rPr>
        <w:t xml:space="preserve">Raw data shall be processed using validated algorithms and shall be reviewed by a second qualified analyst for transcription errors, units of measure, and compliance with method-defined quality control criteria. The final test report shall include, at minimum, the unique accession identifier, the test method, the analytical result with associated uncertainty (where requested), the units of measure, the date of analysis, the date of report issuance, and any deviations from the SOP that occurred during the analysis. Reports shall not be released to the client until the technical reviewer and the laboratory director (or qualified designee) have signed off in the LIMS.</w:t>
      </w:r>
      <w:bookmarkEnd w:id="13"/>
    </w:p>
    <w:p>
      <w:pPr>
        <w:spacing/>
        <w:rPr/>
      </w:pPr>
    </w:p>
    <w:p>
      <w:pPr>
        <w:spacing/>
        <w:rPr/>
      </w:pPr>
      <w:bookmarkStart w:id="14" w:name="Slot_Records"/>
      <w:r>
        <w:rPr>
          <w:rFonts w:ascii="Calibri" w:hAnsi="Calibri" w:eastAsia="Calibri" w:cs="Calibri"/>
          <w:b/>
        </w:rPr>
        <w:t xml:space="preserve">Records &amp; Retention: </w:t>
      </w:r>
      <w:bookmarkEnd w:id="14"/>
    </w:p>
    <w:p>
      <w:pPr>
        <w:spacing/>
        <w:rPr/>
      </w:pPr>
      <w:bookmarkStart w:id="15" w:name="SlotBody_Slot_Records"/>
      <w:r>
        <w:rPr>
          <w:rFonts w:ascii="Calibri" w:hAnsi="Calibri" w:eastAsia="Calibri" w:cs="Calibri"/>
        </w:rPr>
        <w:t xml:space="preserve">All raw data, chromatograms, spectra, calculations, and supporting documentation shall be retained for a minimum of ten (10) years from the date of report issuance, or longer where required by the applicable accreditation body, regulation, or client contract. Records shall be stored in a manner that protects them from loss, alteration, and unauthorized access, and shall be made available upon request to authorized representatives of the accreditation body, the client, and applicable regulatory authorities. The Laboratory’s information security controls shall comply with ISO/IEC 27001 or an equivalent recognized standard.</w:t>
      </w:r>
      <w:bookmarkEnd w:id="15"/>
    </w:p>
    <w:p>
      <w:pPr>
        <w:spacing/>
        <w:rPr/>
      </w:pPr>
    </w:p>
    <w:p>
      <w:pPr>
        <w:spacing/>
        <w:rPr/>
      </w:pPr>
      <w:r>
        <w:rPr>
          <w:rFonts w:ascii="Calibri" w:hAnsi="Calibri" w:eastAsia="Calibri" w:cs="Calibri"/>
          <w:b/>
        </w:rPr>
        <w:t xml:space="preserve">Review Cycle: </w:t>
      </w:r>
      <w:r>
        <w:rPr>
          <w:rFonts w:ascii="Calibri" w:hAnsi="Calibri" w:eastAsia="Calibri" w:cs="Calibri"/>
        </w:rPr>
        <w:t xml:space="preserve">This SOP shall be reviewed at minimum every </w:t>
      </w:r>
      <w:r>
        <w:rPr>
          <w:rFonts w:ascii="Calibri" w:hAnsi="Calibri" w:eastAsia="Calibri" w:cs="Calibri"/>
        </w:rPr>
        <w:fldChar w:fldCharType="begin"/>
      </w:r>
      <w:r>
        <w:rPr>
          <w:rFonts w:ascii="Calibri" w:hAnsi="Calibri" w:eastAsia="Calibri" w:cs="Calibri"/>
        </w:rPr>
        <w:instrText xml:space="preserve">MERGEFIELD ReviewCycle</w:instrText>
      </w:r>
      <w:r>
        <w:rPr/>
        <w:fldChar w:fldCharType="separate"/>
      </w:r>
      <w:r>
        <w:rPr>
          <w:rFonts w:ascii="Calibri" w:hAnsi="Calibri" w:eastAsia="Calibri" w:cs="Calibri"/>
        </w:rPr>
        <w:t xml:space="preserve">«ReviewCycle»</w:t>
      </w:r>
      <w:r>
        <w:rPr/>
        <w:fldChar w:fldCharType="end"/>
      </w:r>
      <w:r>
        <w:rPr>
          <w:rFonts w:ascii="Calibri" w:hAnsi="Calibri" w:eastAsia="Calibri" w:cs="Calibri"/>
        </w:rPr>
        <w:t xml:space="preserve"> by the method author, the laboratory director, and the quality manager. Each review shall confirm alignment with the published reference method, the accreditation requirements, and any changes in regulatory or client expectations. Revisions shall be version-controlled, approved by the quality manager, and communicated to every analyst prior to resumption of work under the revised procedure. The method author is responsible for initiating the review on or before the anniversary of the effective date.</w:t>
      </w:r>
    </w:p>
    <w:p>
      <w:pPr>
        <w:spacing/>
        <w:rPr/>
      </w:pPr>
    </w:p>
    <w:p>
      <w:pPr>
        <w:spacing/>
        <w:rPr/>
      </w:pPr>
    </w:p>
    <w:p>
      <w:pPr>
        <w:spacing/>
        <w:rPr/>
      </w:pPr>
      <w:bookmarkStart w:id="16" w:name="SignatureBlock_Laboratory"/>
      <w:r>
        <w:rPr>
          <w:rFonts w:ascii="Calibri" w:hAnsi="Calibri" w:eastAsia="Calibri" w:cs="Calibri"/>
        </w:rPr>
        <w:t xml:space="preserve">[Signature Pad Placeholder — image signature inserted here]</w:t>
      </w:r>
      <w:bookmarkEnd w:id="16"/>
    </w:p>
    <w:p>
      <w:pPr>
        <w:spacing/>
        <w:rPr/>
      </w:pPr>
    </w:p>
    <w:p>
      <w:pPr>
        <w:spacing/>
        <w:rPr/>
      </w:pPr>
      <w:r>
        <w:rPr>
          <w:rFonts w:ascii="Calibri" w:hAnsi="Calibri" w:eastAsia="Calibri" w:cs="Calibri"/>
        </w:rPr>
        <w:t xml:space="preserve">Signed by: _______________________     Date: ____________</w:t>
      </w:r>
    </w:p>
    <w:sectPr>
      <w:type w:val="nextPage"/>
      <w:pgSz w:w="11906" w:h="16838"/>
      <w:pgMar w:top="400" w:right="400" w:bottom="400" w:left="1000" w:gutter="0"/>
      <w:pgBorders/>
      <w:pgNumType w:fmt="decimal"/>
      <w:cols w:equalWidth="1" w:space="720"/>
    </w:sectPr>
  </w:body>
</w:document>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rPr>
    </w:rPrDefault>
    <w:pPrDefault/>
  </w:docDefaults>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pPr>
      <w:spacing/>
    </w:pPr>
    <w:rPr>
      <w:rFonts w:ascii="Calibri" w:hAnsi="Calibri" w:eastAsia="Calibri" w:cs="Calibri"/>
      <w:sz w:val="22"/>
      <w:szCs w:val="24"/>
      <w:lang w:val="en-US" w:eastAsia="zh-TW" w:bidi="ar-SA"/>
    </w:rPr>
  </w:style>
  <w:style w:type="character" w:styleId="DefaultParagraphFont" w:default="1">
    <w:name w:val="Default Paragraph Font"/>
    <w:semiHidden/>
    <w:unhideWhenUsed/>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2026-09-25T12:24:45Z</dcterms:created>
</cp:coreProperties>
</file>