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manufacturing"/>
      <w:r>
        <w:rPr>
          <w:rFonts w:ascii="Calibri" w:hAnsi="Calibri" w:eastAsia="Calibri" w:cs="Calibri"/>
          <w:b/>
          <w:sz w:val="36"/>
        </w:rPr>
        <w:t xml:space="preserve">Standard Operating Procedure — Production Line Operation</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Manufacturing Site: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Production Supervisor: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Product Line: </w:t>
      </w:r>
      <w:r>
        <w:rPr>
          <w:rFonts w:ascii="Calibri" w:hAnsi="Calibri" w:eastAsia="Calibri" w:cs="Calibri"/>
        </w:rPr>
        <w:fldChar w:fldCharType="begin"/>
      </w:r>
      <w:r>
        <w:rPr>
          <w:rFonts w:ascii="Calibri" w:hAnsi="Calibri" w:eastAsia="Calibri" w:cs="Calibri"/>
        </w:rPr>
        <w:instrText xml:space="preserve">MERGEFIELD ProductLine</w:instrText>
      </w:r>
      <w:r>
        <w:rPr/>
        <w:fldChar w:fldCharType="separate"/>
      </w:r>
      <w:r>
        <w:rPr>
          <w:rFonts w:ascii="Calibri" w:hAnsi="Calibri" w:eastAsia="Calibri" w:cs="Calibri"/>
        </w:rPr>
        <w:t xml:space="preserve">«ProductLine»</w:t>
      </w:r>
      <w:r>
        <w:rPr/>
        <w:fldChar w:fldCharType="end"/>
      </w:r>
    </w:p>
    <w:p>
      <w:pPr>
        <w:spacing/>
        <w:rPr/>
      </w:pPr>
      <w:r>
        <w:rPr>
          <w:rFonts w:ascii="Calibri" w:hAnsi="Calibri" w:eastAsia="Calibri" w:cs="Calibri"/>
          <w:b/>
        </w:rPr>
        <w:t xml:space="preserve">Primary Equipment: </w:t>
      </w:r>
      <w:r>
        <w:rPr>
          <w:rFonts w:ascii="Calibri" w:hAnsi="Calibri" w:eastAsia="Calibri" w:cs="Calibri"/>
        </w:rPr>
        <w:fldChar w:fldCharType="begin"/>
      </w:r>
      <w:r>
        <w:rPr>
          <w:rFonts w:ascii="Calibri" w:hAnsi="Calibri" w:eastAsia="Calibri" w:cs="Calibri"/>
        </w:rPr>
        <w:instrText xml:space="preserve">MERGEFIELD EquipmentName</w:instrText>
      </w:r>
      <w:r>
        <w:rPr/>
        <w:fldChar w:fldCharType="separate"/>
      </w:r>
      <w:r>
        <w:rPr>
          <w:rFonts w:ascii="Calibri" w:hAnsi="Calibri" w:eastAsia="Calibri" w:cs="Calibri"/>
        </w:rPr>
        <w:t xml:space="preserve">«EquipmentName»</w:t>
      </w:r>
      <w:r>
        <w:rPr/>
        <w:fldChar w:fldCharType="end"/>
      </w:r>
    </w:p>
    <w:p>
      <w:pPr>
        <w:spacing/>
        <w:rPr/>
      </w:pPr>
    </w:p>
    <w:p>
      <w:pPr>
        <w:spacing/>
        <w:rPr/>
      </w:pPr>
      <w:bookmarkStart w:id="3" w:name="Purpose"/>
      <w:r>
        <w:rPr>
          <w:rFonts w:ascii="Calibri" w:hAnsi="Calibri" w:eastAsia="Calibri" w:cs="Calibri"/>
        </w:rPr>
        <w:t xml:space="preserve">This Standard Operating Procedure (the “SOP”) defines the safe and consistent method of operating the </w:t>
      </w:r>
      <w:r>
        <w:rPr>
          <w:rFonts w:ascii="Calibri" w:hAnsi="Calibri" w:eastAsia="Calibri" w:cs="Calibri"/>
        </w:rPr>
        <w:fldChar w:fldCharType="begin"/>
      </w:r>
      <w:r>
        <w:rPr>
          <w:rFonts w:ascii="Calibri" w:hAnsi="Calibri" w:eastAsia="Calibri" w:cs="Calibri"/>
        </w:rPr>
        <w:instrText xml:space="preserve">MERGEFIELD EquipmentName</w:instrText>
      </w:r>
      <w:r>
        <w:rPr/>
        <w:fldChar w:fldCharType="separate"/>
      </w:r>
      <w:r>
        <w:rPr>
          <w:rFonts w:ascii="Calibri" w:hAnsi="Calibri" w:eastAsia="Calibri" w:cs="Calibri"/>
        </w:rPr>
        <w:t xml:space="preserve">«EquipmentName»</w:t>
      </w:r>
      <w:r>
        <w:rPr/>
        <w:fldChar w:fldCharType="end"/>
      </w:r>
      <w:r>
        <w:rPr>
          <w:rFonts w:ascii="Calibri" w:hAnsi="Calibri" w:eastAsia="Calibri" w:cs="Calibri"/>
        </w:rPr>
        <w:t xml:space="preserve"> equipment on the </w:t>
      </w:r>
      <w:r>
        <w:rPr>
          <w:rFonts w:ascii="Calibri" w:hAnsi="Calibri" w:eastAsia="Calibri" w:cs="Calibri"/>
        </w:rPr>
        <w:fldChar w:fldCharType="begin"/>
      </w:r>
      <w:r>
        <w:rPr>
          <w:rFonts w:ascii="Calibri" w:hAnsi="Calibri" w:eastAsia="Calibri" w:cs="Calibri"/>
        </w:rPr>
        <w:instrText xml:space="preserve">MERGEFIELD ProductLine</w:instrText>
      </w:r>
      <w:r>
        <w:rPr/>
        <w:fldChar w:fldCharType="separate"/>
      </w:r>
      <w:r>
        <w:rPr>
          <w:rFonts w:ascii="Calibri" w:hAnsi="Calibri" w:eastAsia="Calibri" w:cs="Calibri"/>
        </w:rPr>
        <w:t xml:space="preserve">«ProductLine»</w:t>
      </w:r>
      <w:r>
        <w:rPr/>
        <w:fldChar w:fldCharType="end"/>
      </w:r>
      <w:r>
        <w:rPr>
          <w:rFonts w:ascii="Calibri" w:hAnsi="Calibri" w:eastAsia="Calibri" w:cs="Calibri"/>
        </w:rPr>
        <w:t xml:space="preserve"> line at the manufacturing facility operated by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“Facility”). The SOP takes effect on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and is binding on every operator, lead, supervisor, maintenance technician, and quality representative assigned to the line until formally superseded or retired by the Plant Manager.</w:t>
      </w:r>
      <w:bookmarkEnd w:id="3"/>
    </w:p>
    <w:p>
      <w:pPr>
        <w:spacing/>
        <w:rPr/>
      </w:pPr>
    </w:p>
    <w:p>
      <w:pPr>
        <w:spacing/>
        <w:rPr/>
      </w:pPr>
      <w:bookmarkStart w:id="4" w:name="Scope"/>
      <w:r>
        <w:rPr>
          <w:rFonts w:ascii="Calibri" w:hAnsi="Calibri" w:eastAsia="Calibri" w:cs="Calibri"/>
        </w:rPr>
        <w:t xml:space="preserve">This SOP applies to the start-up, normal operation, changeover, in-process sampling, planned stop, and emergency stop of the designated equipment within the scope of the product line. It applies to all shifts and to all personnel whose work affects product quality, safety, or regulatory compliance, including third-party contractors performing work on or near the line. It does not supersede equipment-specific lockout / tagout procedures, confined-space entry permits, hot-work permits, or any other safety procedure that the Facility’s Environment, Health and Safety function requires for the activity being performed.</w:t>
      </w:r>
      <w:bookmarkEnd w:id="4"/>
    </w:p>
    <w:p>
      <w:pPr>
        <w:spacing/>
        <w:rPr/>
      </w:pPr>
    </w:p>
    <w:p>
      <w:pPr>
        <w:spacing/>
        <w:rPr/>
      </w:pPr>
      <w:bookmarkStart w:id="5" w:name="Health, Safety &amp; Environment"/>
      <w:r>
        <w:rPr>
          <w:rFonts w:ascii="Calibri" w:hAnsi="Calibri" w:eastAsia="Calibri" w:cs="Calibri"/>
        </w:rPr>
        <w:t xml:space="preserve">Operators shall confirm the area is clear of personnel and obstructions prior to energizing the equipment, shall wear the personal protective equipment specified on the line’s PPE matrix, and shall adhere to the Facility’s Confined Space Entry, Hot Work, and Lockout / Tagout programs for any maintenance or cleaning activity that requires the removal of guards or the de-energization of equipment. Any near miss, first aid event, or recordable injury shall be reported to the production supervisor and entered into the Facility’s safety reporting system within the same shift. Chemical handling shall comply with the Safety Data Sheet (SDS) and the Facility’s Hazard Communication program.</w:t>
      </w:r>
      <w:bookmarkEnd w:id="5"/>
    </w:p>
    <w:p>
      <w:pPr>
        <w:spacing/>
        <w:rPr/>
      </w:pPr>
    </w:p>
    <w:p>
      <w:pPr>
        <w:spacing/>
        <w:rPr/>
      </w:pPr>
      <w:r>
        <w:rPr>
          <w:rFonts w:ascii="Calibri" w:hAnsi="Calibri" w:eastAsia="Calibri" w:cs="Calibri"/>
          <w:b/>
        </w:rPr>
        <w:t xml:space="preserve">Regulatory References: </w:t>
      </w:r>
      <w:r>
        <w:rPr>
          <w:rFonts w:ascii="Calibri" w:hAnsi="Calibri" w:eastAsia="Calibri" w:cs="Calibri"/>
        </w:rPr>
        <w:t xml:space="preserve">This SOP is issued in alignment with 21 CFR Part 211 “Current Good Manufacturing Practice for Finished Pharmaceuticals” (where the product line supports a regulated product), 21 CFR Part 117 “Current Good Manufacturing Practice, Hazard Analysis, and Risk-Based Preventive Controls for Human Food” (where the product line supports food), ISO 9001:2015, ISO 13485:2016 (where the product line supports medical devices), and the Facility’s Quality Management System. Where regulatory or quality system requirements conflict with this SOP, the more stringent requirement shall apply and the deviation shall be recorded in the Facility’s deviation management system.</w:t>
      </w:r>
    </w:p>
    <w:p>
      <w:pPr>
        <w:spacing/>
        <w:rPr/>
      </w:pPr>
    </w:p>
    <w:p>
      <w:pPr>
        <w:spacing/>
        <w:rPr/>
      </w:pPr>
      <w:bookmarkStart w:id="6" w:name="Slot_PreStart"/>
      <w:r>
        <w:rPr>
          <w:rFonts w:ascii="Calibri" w:hAnsi="Calibri" w:eastAsia="Calibri" w:cs="Calibri"/>
          <w:b/>
        </w:rPr>
        <w:t xml:space="preserve">Pre-Start-Up Checks: </w:t>
      </w:r>
      <w:bookmarkEnd w:id="6"/>
    </w:p>
    <w:p>
      <w:pPr>
        <w:spacing/>
        <w:rPr/>
      </w:pPr>
      <w:bookmarkStart w:id="7" w:name="SlotBody_Slot_PreStart"/>
      <w:r>
        <w:rPr>
          <w:rFonts w:ascii="Calibri" w:hAnsi="Calibri" w:eastAsia="Calibri" w:cs="Calibri"/>
        </w:rPr>
        <w:t xml:space="preserve">Before authorizing line start-up, the operator shall verify that the line is clear of personnel, tools, and product from the previous run; that all guards, interlocks, and emergency-stop devices are in place and tested; that the previous batch or lot has been reconciled in the Manufacturing Execution System (MES); that cleaning verification for the product contact surfaces has been completed and signed off by Quality; and that the line clearance and line clearance for the upcoming product have been performed by an operator other than the one who performed the changeover. The operator shall record each verification on the line start-up checklist and shall not energize the equipment until every item on the checklist has been initialed.</w:t>
      </w:r>
      <w:bookmarkEnd w:id="7"/>
    </w:p>
    <w:p>
      <w:pPr>
        <w:spacing/>
        <w:rPr/>
      </w:pPr>
    </w:p>
    <w:p>
      <w:pPr>
        <w:spacing/>
        <w:rPr/>
      </w:pPr>
      <w:bookmarkStart w:id="8" w:name="Slot_NormalOperation"/>
      <w:r>
        <w:rPr>
          <w:rFonts w:ascii="Calibri" w:hAnsi="Calibri" w:eastAsia="Calibri" w:cs="Calibri"/>
          <w:b/>
        </w:rPr>
        <w:t xml:space="preserve">Normal Operation: </w:t>
      </w:r>
      <w:bookmarkEnd w:id="8"/>
    </w:p>
    <w:p>
      <w:pPr>
        <w:spacing/>
        <w:rPr/>
      </w:pPr>
      <w:bookmarkStart w:id="9" w:name="SlotBody_Slot_NormalOperation"/>
      <w:r>
        <w:rPr>
          <w:rFonts w:ascii="Calibri" w:hAnsi="Calibri" w:eastAsia="Calibri" w:cs="Calibri"/>
        </w:rPr>
        <w:t xml:space="preserve">During normal operation the operator shall monitor the line at the cadence defined in the line’s control plan, including critical process parameters, in-process control points, and the visual appearance of the product. The operator shall take in-process samples at the frequency defined in the batch record and shall promptly escalate any out-of-specification result to the production supervisor and the on-shift Quality representative. The operator shall not adjust a critical process parameter outside the approved operating range without written authorization from Quality. Any deviation from the SOP shall be recorded on the deviation form and shall be dispositioned by the production supervisor and the on-shift Quality representative before the lot is released.</w:t>
      </w:r>
      <w:bookmarkEnd w:id="9"/>
    </w:p>
    <w:p>
      <w:pPr>
        <w:spacing/>
        <w:rPr/>
      </w:pPr>
    </w:p>
    <w:p>
      <w:pPr>
        <w:spacing/>
        <w:rPr/>
      </w:pPr>
      <w:bookmarkStart w:id="10" w:name="Slot_Changeover"/>
      <w:r>
        <w:rPr>
          <w:rFonts w:ascii="Calibri" w:hAnsi="Calibri" w:eastAsia="Calibri" w:cs="Calibri"/>
          <w:b/>
        </w:rPr>
        <w:t xml:space="preserve">Changeover &amp; Cleaning: </w:t>
      </w:r>
      <w:bookmarkEnd w:id="10"/>
    </w:p>
    <w:p>
      <w:pPr>
        <w:spacing/>
        <w:rPr/>
      </w:pPr>
      <w:bookmarkStart w:id="11" w:name="SlotBody_Slot_Changeover"/>
      <w:r>
        <w:rPr>
          <w:rFonts w:ascii="Calibri" w:hAnsi="Calibri" w:eastAsia="Calibri" w:cs="Calibri"/>
        </w:rPr>
        <w:t xml:space="preserve">Changeover from one product to the next shall be performed in accordance with the validated cleaning procedure for the product contact surfaces and shall be sequenced to prevent cross-contamination, mix-up, and the carryover of allergens or animal-derived materials. Cleaning shall be performed by a trained operator using the documented cleaning agents, concentrations, contact times, and rinsing steps. On completion of cleaning, the line shall be inspected by the line lead and independently verified by Quality prior to release for the next product. Cleaning verification results shall be recorded in the batch record and shall be retained as part of the product history file.</w:t>
      </w:r>
      <w:bookmarkEnd w:id="11"/>
    </w:p>
    <w:p>
      <w:pPr>
        <w:spacing/>
        <w:rPr/>
      </w:pPr>
    </w:p>
    <w:p>
      <w:pPr>
        <w:spacing/>
        <w:rPr/>
      </w:pPr>
      <w:bookmarkStart w:id="12" w:name="Slot_InProcess"/>
      <w:r>
        <w:rPr>
          <w:rFonts w:ascii="Calibri" w:hAnsi="Calibri" w:eastAsia="Calibri" w:cs="Calibri"/>
          <w:b/>
        </w:rPr>
        <w:t xml:space="preserve">In-Process Sampling &amp; Hold: </w:t>
      </w:r>
      <w:bookmarkEnd w:id="12"/>
    </w:p>
    <w:p>
      <w:pPr>
        <w:spacing/>
        <w:rPr/>
      </w:pPr>
      <w:bookmarkStart w:id="13" w:name="SlotBody_Slot_InProcess"/>
      <w:r>
        <w:rPr>
          <w:rFonts w:ascii="Calibri" w:hAnsi="Calibri" w:eastAsia="Calibri" w:cs="Calibri"/>
        </w:rPr>
        <w:t xml:space="preserve">In-process samples shall be taken at the locations, frequencies, and sample sizes defined in the approved sampling plan. Each sample shall be labeled with the batch or lot identifier, the sample location, the sample time, the operator identifier, and the analytical test to be performed. Samples awaiting analytical result shall be held under quarantine in the designated sampling-hold area and shall not be released for shipment until the Quality representative has approved the lot. Lots that fail to meet acceptance criteria shall be placed on physical and electronic hold pending a non-conformance investigation, and shall be dispositioned in accordance with the Facility’s non-conforming product procedure.</w:t>
      </w:r>
      <w:bookmarkEnd w:id="13"/>
    </w:p>
    <w:p>
      <w:pPr>
        <w:spacing/>
        <w:rPr/>
      </w:pPr>
    </w:p>
    <w:p>
      <w:pPr>
        <w:spacing/>
        <w:rPr/>
      </w:pPr>
      <w:bookmarkStart w:id="14" w:name="Slot_Stop"/>
      <w:r>
        <w:rPr>
          <w:rFonts w:ascii="Calibri" w:hAnsi="Calibri" w:eastAsia="Calibri" w:cs="Calibri"/>
          <w:b/>
        </w:rPr>
        <w:t xml:space="preserve">Planned &amp; Emergency Stop: </w:t>
      </w:r>
      <w:bookmarkEnd w:id="14"/>
    </w:p>
    <w:p>
      <w:pPr>
        <w:spacing/>
        <w:rPr/>
      </w:pPr>
      <w:bookmarkStart w:id="15" w:name="SlotBody_Slot_Stop"/>
      <w:r>
        <w:rPr>
          <w:rFonts w:ascii="Calibri" w:hAnsi="Calibri" w:eastAsia="Calibri" w:cs="Calibri"/>
        </w:rPr>
        <w:t xml:space="preserve">Planned stops (e.g., shift change, planned maintenance, end of campaign) shall follow the controlled-stop sequence defined in the line’s operating manual, including line clearance, equipment lockout where required, and reconciliation of the in-process batch in the MES. Emergency stops shall be initiated by activating the nearest emergency-stop device, after which the operator shall secure the area, perform a visual inspection of the line, and notify the production supervisor and the on-shift Quality representative. The line shall not be restarted until the cause of the stop has been investigated, the corrective action has been recorded, and a written authorization to restart has been issued by the production supervisor and the on-shift Quality representative.</w:t>
      </w:r>
      <w:bookmarkEnd w:id="15"/>
    </w:p>
    <w:p>
      <w:pPr>
        <w:spacing/>
        <w:rPr/>
      </w:pPr>
    </w:p>
    <w:p>
      <w:pPr>
        <w:spacing/>
        <w:rPr/>
      </w:pPr>
      <w:r>
        <w:rPr>
          <w:rFonts w:ascii="Calibri" w:hAnsi="Calibri" w:eastAsia="Calibri" w:cs="Calibri"/>
          <w:b/>
        </w:rPr>
        <w:t xml:space="preserve">Review Cycle: </w:t>
      </w:r>
      <w:r>
        <w:rPr>
          <w:rFonts w:ascii="Calibri" w:hAnsi="Calibri" w:eastAsia="Calibri" w:cs="Calibri"/>
        </w:rPr>
        <w:t xml:space="preserve">This SOP shall be reviewed at minimum every </w:t>
      </w:r>
      <w:r>
        <w:rPr>
          <w:rFonts w:ascii="Calibri" w:hAnsi="Calibri" w:eastAsia="Calibri" w:cs="Calibri"/>
        </w:rPr>
        <w:fldChar w:fldCharType="begin"/>
      </w:r>
      <w:r>
        <w:rPr>
          <w:rFonts w:ascii="Calibri" w:hAnsi="Calibri" w:eastAsia="Calibri" w:cs="Calibri"/>
        </w:rPr>
        <w:instrText xml:space="preserve">MERGEFIELD ReviewCycle</w:instrText>
      </w:r>
      <w:r>
        <w:rPr/>
        <w:fldChar w:fldCharType="separate"/>
      </w:r>
      <w:r>
        <w:rPr>
          <w:rFonts w:ascii="Calibri" w:hAnsi="Calibri" w:eastAsia="Calibri" w:cs="Calibri"/>
        </w:rPr>
        <w:t xml:space="preserve">«ReviewCycle»</w:t>
      </w:r>
      <w:r>
        <w:rPr/>
        <w:fldChar w:fldCharType="end"/>
      </w:r>
      <w:r>
        <w:rPr>
          <w:rFonts w:ascii="Calibri" w:hAnsi="Calibri" w:eastAsia="Calibri" w:cs="Calibri"/>
        </w:rPr>
        <w:t xml:space="preserve"> by the production supervisor, the Plant Manager, and the Quality Manager. Each review shall include a walk-through of the line, a review of deviations and non-conformances recorded during the review period, and confirmation that the SOP remains aligned with current regulatory, quality, and safety requirements. Revisions shall be version-controlled, approved by the Plant Manager, trained out to every affected employee through the Facility’s learning management system, and recorded in the employee training record before the revised SOP becomes effective on the line. The production supervisor is responsible for initiating the review on or before the anniversary of the effective date.</w:t>
      </w:r>
    </w:p>
    <w:p>
      <w:pPr>
        <w:spacing/>
        <w:rPr/>
      </w:pPr>
    </w:p>
    <w:p>
      <w:pPr>
        <w:spacing/>
        <w:rPr/>
      </w:pPr>
    </w:p>
    <w:p>
      <w:pPr>
        <w:spacing/>
        <w:rPr/>
      </w:pPr>
      <w:bookmarkStart w:id="16" w:name="SignatureBlock_Manufacturing"/>
      <w:r>
        <w:rPr>
          <w:rFonts w:ascii="Calibri" w:hAnsi="Calibri" w:eastAsia="Calibri" w:cs="Calibri"/>
        </w:rPr>
        <w:t xml:space="preserve">[Signature Pad Placeholder — image signature inserted here]</w:t>
      </w:r>
      <w:bookmarkEnd w:id="16"/>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2026-09-25T12:24:45Z</dcterms:created>
</cp:coreProperties>
</file>