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purchase"/>
      <w:r>
        <w:rPr>
          <w:rFonts w:ascii="Calibri" w:hAnsi="Calibri" w:eastAsia="Calibri" w:cs="Calibri"/>
          <w:b/>
          <w:sz w:val="36"/>
        </w:rPr>
        <w:t xml:space="preserve">Purchase Contract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Seller: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Buyer Contact: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Total Order Value: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p>
    <w:p>
      <w:pPr>
        <w:spacing/>
        <w:rPr/>
      </w:pPr>
    </w:p>
    <w:p>
      <w:pPr>
        <w:spacing/>
        <w:rPr/>
      </w:pPr>
      <w:bookmarkStart w:id="3" w:name="Goods"/>
      <w:r>
        <w:rPr>
          <w:rFonts w:ascii="Calibri" w:hAnsi="Calibri" w:eastAsia="Calibri" w:cs="Calibri"/>
        </w:rPr>
        <w:t xml:space="preserve">This Purchase Contract is entered into as of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between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“Seller”) and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(the “Buyer”) for the purchase of the goods itemized in the exhibit attached hereto, for total consideration of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exclusive of applicable taxes and duties.</w:t>
      </w:r>
      <w:bookmarkEnd w:id="3"/>
    </w:p>
    <w:p>
      <w:pPr>
        <w:spacing/>
        <w:rPr/>
      </w:pPr>
    </w:p>
    <w:p>
      <w:pPr>
        <w:spacing/>
        <w:rPr/>
      </w:pPr>
      <w:bookmarkStart w:id="4" w:name="Slot_Delivery"/>
      <w:r>
        <w:rPr>
          <w:rFonts w:ascii="Calibri" w:hAnsi="Calibri" w:eastAsia="Calibri" w:cs="Calibri"/>
          <w:b/>
        </w:rPr>
        <w:t xml:space="preserve">Delivery: </w:t>
      </w:r>
      <w:bookmarkEnd w:id="4"/>
    </w:p>
    <w:p>
      <w:pPr>
        <w:spacing/>
        <w:rPr/>
      </w:pPr>
      <w:bookmarkStart w:id="5" w:name="SlotBody_Slot_Delivery"/>
      <w:r>
        <w:rPr>
          <w:rFonts w:ascii="Calibri" w:hAnsi="Calibri" w:eastAsia="Calibri" w:cs="Calibri"/>
        </w:rPr>
        <w:t xml:space="preserve">Seller shall deliver the goods to Buyer’s designated address on or before </w:t>
      </w:r>
      <w:r>
        <w:rPr>
          <w:rFonts w:ascii="Calibri" w:hAnsi="Calibri" w:eastAsia="Calibri" w:cs="Calibri"/>
        </w:rPr>
        <w:fldChar w:fldCharType="begin"/>
      </w:r>
      <w:r>
        <w:rPr>
          <w:rFonts w:ascii="Calibri" w:hAnsi="Calibri" w:eastAsia="Calibri" w:cs="Calibri"/>
        </w:rPr>
        <w:instrText xml:space="preserve">MERGEFIELD DeliveryDate</w:instrText>
      </w:r>
      <w:r>
        <w:rPr/>
        <w:fldChar w:fldCharType="separate"/>
      </w:r>
      <w:r>
        <w:rPr>
          <w:rFonts w:ascii="Calibri" w:hAnsi="Calibri" w:eastAsia="Calibri" w:cs="Calibri"/>
        </w:rPr>
        <w:t xml:space="preserve">«DeliveryDate»</w:t>
      </w:r>
      <w:r>
        <w:rPr/>
        <w:fldChar w:fldCharType="end"/>
      </w:r>
      <w:r>
        <w:rPr>
          <w:rFonts w:ascii="Calibri" w:hAnsi="Calibri" w:eastAsia="Calibri" w:cs="Calibri"/>
        </w:rPr>
        <w:t xml:space="preserve">, freight prepaid, with risk of loss passing to Buyer upon delivery. Buyer may inspect the goods within ten (10) business days of receipt and reject any non-conforming items for prompt replacement.</w:t>
      </w:r>
      <w:bookmarkEnd w:id="5"/>
    </w:p>
    <w:p>
      <w:pPr>
        <w:spacing/>
        <w:rPr/>
      </w:pPr>
    </w:p>
    <w:p>
      <w:pPr>
        <w:spacing/>
        <w:rPr/>
      </w:pPr>
      <w:bookmarkStart w:id="6" w:name="Slot_Warranty"/>
      <w:r>
        <w:rPr>
          <w:rFonts w:ascii="Calibri" w:hAnsi="Calibri" w:eastAsia="Calibri" w:cs="Calibri"/>
          <w:b/>
        </w:rPr>
        <w:t xml:space="preserve">Warranty: </w:t>
      </w:r>
      <w:bookmarkEnd w:id="6"/>
    </w:p>
    <w:p>
      <w:pPr>
        <w:spacing/>
        <w:rPr/>
      </w:pPr>
      <w:bookmarkStart w:id="7" w:name="SlotBody_Slot_Warranty"/>
      <w:r>
        <w:rPr>
          <w:rFonts w:ascii="Calibri" w:hAnsi="Calibri" w:eastAsia="Calibri" w:cs="Calibri"/>
        </w:rPr>
        <w:t xml:space="preserve">Seller warrants that the goods will be free from defects in material and workmanship and will conform to the agreed specifications for a period of </w:t>
      </w:r>
      <w:r>
        <w:rPr>
          <w:rFonts w:ascii="Calibri" w:hAnsi="Calibri" w:eastAsia="Calibri" w:cs="Calibri"/>
        </w:rPr>
        <w:fldChar w:fldCharType="begin"/>
      </w:r>
      <w:r>
        <w:rPr>
          <w:rFonts w:ascii="Calibri" w:hAnsi="Calibri" w:eastAsia="Calibri" w:cs="Calibri"/>
        </w:rPr>
        <w:instrText xml:space="preserve">MERGEFIELD WarrantyPeriod</w:instrText>
      </w:r>
      <w:r>
        <w:rPr/>
        <w:fldChar w:fldCharType="separate"/>
      </w:r>
      <w:r>
        <w:rPr>
          <w:rFonts w:ascii="Calibri" w:hAnsi="Calibri" w:eastAsia="Calibri" w:cs="Calibri"/>
        </w:rPr>
        <w:t xml:space="preserve">«WarrantyPeriod»</w:t>
      </w:r>
      <w:r>
        <w:rPr/>
        <w:fldChar w:fldCharType="end"/>
      </w:r>
      <w:r>
        <w:rPr>
          <w:rFonts w:ascii="Calibri" w:hAnsi="Calibri" w:eastAsia="Calibri" w:cs="Calibri"/>
        </w:rPr>
        <w:t xml:space="preserve"> from the delivery date. Buyer’s exclusive remedy for breach of this warranty is the repair or replacement of the defective goods at Seller’s expense.</w:t>
      </w:r>
      <w:bookmarkEnd w:id="7"/>
    </w:p>
    <w:p>
      <w:pPr>
        <w:spacing/>
        <w:rPr/>
      </w:pPr>
    </w:p>
    <w:p>
      <w:pPr>
        <w:spacing/>
        <w:rPr/>
      </w:pPr>
      <w:bookmarkStart w:id="8" w:name="Slot_DataProtection"/>
      <w:r>
        <w:rPr>
          <w:rFonts w:ascii="Calibri" w:hAnsi="Calibri" w:eastAsia="Calibri" w:cs="Calibri"/>
          <w:b/>
        </w:rPr>
        <w:t xml:space="preserve">Data Protection: </w:t>
      </w:r>
      <w:bookmarkEnd w:id="8"/>
    </w:p>
    <w:p>
      <w:pPr>
        <w:spacing/>
        <w:rPr/>
      </w:pPr>
      <w:bookmarkStart w:id="9" w:name="SlotBody_Slot_DataProtection"/>
      <w:r>
        <w:rPr>
          <w:rFonts w:ascii="Calibri" w:hAnsi="Calibri" w:eastAsia="Calibri" w:cs="Calibri"/>
        </w:rPr>
        <w:t xml:space="preserve">Each party shall comply with all applicable data protection and privacy laws in connection with any personal data exchanged under this Contract, and shall implement appropriate technical and organizational measures to safeguard such data against unauthorized access or disclosure.</w:t>
      </w:r>
      <w:bookmarkEnd w:id="9"/>
    </w:p>
    <w:p>
      <w:pPr>
        <w:spacing/>
        <w:rPr/>
      </w:pPr>
    </w:p>
    <w:p>
      <w:pPr>
        <w:spacing/>
        <w:rPr/>
      </w:pPr>
    </w:p>
    <w:p>
      <w:pPr>
        <w:spacing/>
        <w:rPr/>
      </w:pPr>
      <w:bookmarkStart w:id="10" w:name="SignatureBlock_Purchase"/>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cp:coreProperties>
</file>