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disclaimer"/>
    <w:p>
      <w:pPr>
        <w:pStyle w:val="Heading1"/>
      </w:pPr>
      <w:r>
        <w:t xml:space="preserve">DISCLAIMER</w:t>
      </w:r>
    </w:p>
    <w:p>
      <w:pPr>
        <w:pStyle w:val="FirstParagraph"/>
      </w:pPr>
      <w:r>
        <w:rPr>
          <w:b/>
          <w:bCs/>
        </w:rPr>
        <w:t xml:space="preserve">Syncfyre — Powered by Synckraft Technologies Pvt. Ltd.</w:t>
      </w:r>
    </w:p>
    <w:p>
      <w:pPr>
        <w:pStyle w:val="BodyText"/>
      </w:pPr>
      <w:r>
        <w:rPr>
          <w:b/>
          <w:bCs/>
        </w:rPr>
        <w:t xml:space="preserve">Last Updated:</w:t>
      </w:r>
      <w:r>
        <w:t xml:space="preserve"> </w:t>
      </w:r>
      <w:r>
        <w:t xml:space="preserve">27 August 2026</w:t>
      </w:r>
    </w:p>
    <w:p>
      <w:pPr>
        <w:pStyle w:val="BodyText"/>
      </w:pPr>
      <w:r>
        <w:t xml:space="preserve">The information, software, dashboards, automation tools, reports, communications, AI-powered features, analytics, integrations, and other functionality available through Syncfyre are provided to help businesses manage their operations.</w:t>
      </w:r>
    </w:p>
    <w:p>
      <w:pPr>
        <w:pStyle w:val="BodyText"/>
      </w:pPr>
      <w:r>
        <w:t xml:space="preserve">By using Syncfyre, you acknowledge the following.</w:t>
      </w:r>
    </w:p>
    <w:bookmarkStart w:id="9" w:name="software-tool-only"/>
    <w:p>
      <w:pPr>
        <w:pStyle w:val="Heading2"/>
      </w:pPr>
      <w:r>
        <w:t xml:space="preserve">1. Software Tool Only</w:t>
      </w:r>
    </w:p>
    <w:p>
      <w:pPr>
        <w:pStyle w:val="FirstParagraph"/>
      </w:pPr>
      <w:r>
        <w:t xml:space="preserve">Syncfyre is a business-management software platform.</w:t>
      </w:r>
    </w:p>
    <w:p>
      <w:pPr>
        <w:pStyle w:val="BodyText"/>
      </w:pPr>
      <w:r>
        <w:t xml:space="preserve">It does not independently provide:</w:t>
      </w:r>
    </w:p>
    <w:p>
      <w:pPr>
        <w:pStyle w:val="Compact"/>
        <w:numPr>
          <w:ilvl w:val="0"/>
          <w:numId w:val="1001"/>
        </w:numPr>
      </w:pPr>
      <w:r>
        <w:t xml:space="preserve">legal advice;</w:t>
      </w:r>
    </w:p>
    <w:p>
      <w:pPr>
        <w:pStyle w:val="Compact"/>
        <w:numPr>
          <w:ilvl w:val="0"/>
          <w:numId w:val="1001"/>
        </w:numPr>
      </w:pPr>
      <w:r>
        <w:t xml:space="preserve">accounting advice;</w:t>
      </w:r>
    </w:p>
    <w:p>
      <w:pPr>
        <w:pStyle w:val="Compact"/>
        <w:numPr>
          <w:ilvl w:val="0"/>
          <w:numId w:val="1001"/>
        </w:numPr>
      </w:pPr>
      <w:r>
        <w:t xml:space="preserve">tax advice;</w:t>
      </w:r>
    </w:p>
    <w:p>
      <w:pPr>
        <w:pStyle w:val="Compact"/>
        <w:numPr>
          <w:ilvl w:val="0"/>
          <w:numId w:val="1001"/>
        </w:numPr>
      </w:pPr>
      <w:r>
        <w:t xml:space="preserve">financial advice;</w:t>
      </w:r>
    </w:p>
    <w:p>
      <w:pPr>
        <w:pStyle w:val="Compact"/>
        <w:numPr>
          <w:ilvl w:val="0"/>
          <w:numId w:val="1001"/>
        </w:numPr>
      </w:pPr>
      <w:r>
        <w:t xml:space="preserve">medical advice;</w:t>
      </w:r>
    </w:p>
    <w:p>
      <w:pPr>
        <w:pStyle w:val="Compact"/>
        <w:numPr>
          <w:ilvl w:val="0"/>
          <w:numId w:val="1001"/>
        </w:numPr>
      </w:pPr>
      <w:r>
        <w:t xml:space="preserve">employment-law advice;</w:t>
      </w:r>
    </w:p>
    <w:p>
      <w:pPr>
        <w:pStyle w:val="Compact"/>
        <w:numPr>
          <w:ilvl w:val="0"/>
          <w:numId w:val="1001"/>
        </w:numPr>
      </w:pPr>
      <w:r>
        <w:t xml:space="preserve">regulatory advice;</w:t>
      </w:r>
    </w:p>
    <w:p>
      <w:pPr>
        <w:pStyle w:val="Compact"/>
        <w:numPr>
          <w:ilvl w:val="0"/>
          <w:numId w:val="1001"/>
        </w:numPr>
      </w:pPr>
      <w:r>
        <w:t xml:space="preserve">investment advice.</w:t>
      </w:r>
    </w:p>
    <w:p>
      <w:pPr>
        <w:pStyle w:val="FirstParagraph"/>
      </w:pPr>
      <w:r>
        <w:t xml:space="preserve">Information generated through Syncfyre should be independently reviewed where professional judgment is required.</w:t>
      </w:r>
    </w:p>
    <w:bookmarkEnd w:id="9"/>
    <w:bookmarkStart w:id="10" w:name="accuracy-of-data"/>
    <w:p>
      <w:pPr>
        <w:pStyle w:val="Heading2"/>
      </w:pPr>
      <w:r>
        <w:t xml:space="preserve">2. Accuracy of Data</w:t>
      </w:r>
    </w:p>
    <w:p>
      <w:pPr>
        <w:pStyle w:val="FirstParagraph"/>
      </w:pPr>
      <w:r>
        <w:t xml:space="preserve">Reports and calculations generated by Syncfyre depend on information:</w:t>
      </w:r>
    </w:p>
    <w:p>
      <w:pPr>
        <w:pStyle w:val="Compact"/>
        <w:numPr>
          <w:ilvl w:val="0"/>
          <w:numId w:val="1002"/>
        </w:numPr>
      </w:pPr>
      <w:r>
        <w:t xml:space="preserve">entered by users;</w:t>
      </w:r>
    </w:p>
    <w:p>
      <w:pPr>
        <w:pStyle w:val="Compact"/>
        <w:numPr>
          <w:ilvl w:val="0"/>
          <w:numId w:val="1002"/>
        </w:numPr>
      </w:pPr>
      <w:r>
        <w:t xml:space="preserve">imported from other systems;</w:t>
      </w:r>
    </w:p>
    <w:p>
      <w:pPr>
        <w:pStyle w:val="Compact"/>
        <w:numPr>
          <w:ilvl w:val="0"/>
          <w:numId w:val="1002"/>
        </w:numPr>
      </w:pPr>
      <w:r>
        <w:t xml:space="preserve">received through integrations;</w:t>
      </w:r>
    </w:p>
    <w:p>
      <w:pPr>
        <w:pStyle w:val="Compact"/>
        <w:numPr>
          <w:ilvl w:val="0"/>
          <w:numId w:val="1002"/>
        </w:numPr>
      </w:pPr>
      <w:r>
        <w:t xml:space="preserve">received from connected devices;</w:t>
      </w:r>
    </w:p>
    <w:p>
      <w:pPr>
        <w:pStyle w:val="Compact"/>
        <w:numPr>
          <w:ilvl w:val="0"/>
          <w:numId w:val="1002"/>
        </w:numPr>
      </w:pPr>
      <w:r>
        <w:t xml:space="preserve">received from third-party service providers.</w:t>
      </w:r>
    </w:p>
    <w:p>
      <w:pPr>
        <w:pStyle w:val="FirstParagraph"/>
      </w:pPr>
      <w:r>
        <w:t xml:space="preserve">Synckraft Technologies Pvt. Ltd. cannot guarantee the accuracy of output where source data is incomplete, incorrect, duplicated, delayed, corrupted, misconfigured, or improperly entered.</w:t>
      </w:r>
    </w:p>
    <w:p>
      <w:pPr>
        <w:pStyle w:val="BodyText"/>
      </w:pPr>
      <w:r>
        <w:t xml:space="preserve">Businesses remain responsible for reviewing their records.</w:t>
      </w:r>
    </w:p>
    <w:bookmarkEnd w:id="10"/>
    <w:bookmarkStart w:id="11" w:name="financial-information"/>
    <w:p>
      <w:pPr>
        <w:pStyle w:val="Heading2"/>
      </w:pPr>
      <w:r>
        <w:t xml:space="preserve">3. Financial Information</w:t>
      </w:r>
    </w:p>
    <w:p>
      <w:pPr>
        <w:pStyle w:val="FirstParagraph"/>
      </w:pPr>
      <w:r>
        <w:t xml:space="preserve">Revenue reports, expenses, receivables, outstanding balances, GST-related fields, cash-flow information, or financial summaries provided by Syncfyre are operational tools.</w:t>
      </w:r>
    </w:p>
    <w:p>
      <w:pPr>
        <w:pStyle w:val="BodyText"/>
      </w:pPr>
      <w:r>
        <w:t xml:space="preserve">They should not be treated as audited financial statements or professional accounting advice.</w:t>
      </w:r>
    </w:p>
    <w:p>
      <w:pPr>
        <w:pStyle w:val="BodyText"/>
      </w:pPr>
      <w:r>
        <w:t xml:space="preserve">Businesses should consult qualified accountants or tax professionals for statutory filings and financial compliance.</w:t>
      </w:r>
    </w:p>
    <w:bookmarkEnd w:id="11"/>
    <w:bookmarkStart w:id="12" w:name="business-performance"/>
    <w:p>
      <w:pPr>
        <w:pStyle w:val="Heading2"/>
      </w:pPr>
      <w:r>
        <w:t xml:space="preserve">4. Business Performance</w:t>
      </w:r>
    </w:p>
    <w:p>
      <w:pPr>
        <w:pStyle w:val="FirstParagraph"/>
      </w:pPr>
      <w:r>
        <w:t xml:space="preserve">Syncfyre may provide tools intended to improve:</w:t>
      </w:r>
    </w:p>
    <w:p>
      <w:pPr>
        <w:pStyle w:val="Compact"/>
        <w:numPr>
          <w:ilvl w:val="0"/>
          <w:numId w:val="1003"/>
        </w:numPr>
      </w:pPr>
      <w:r>
        <w:t xml:space="preserve">lead management;</w:t>
      </w:r>
    </w:p>
    <w:p>
      <w:pPr>
        <w:pStyle w:val="Compact"/>
        <w:numPr>
          <w:ilvl w:val="0"/>
          <w:numId w:val="1003"/>
        </w:numPr>
      </w:pPr>
      <w:r>
        <w:t xml:space="preserve">retention;</w:t>
      </w:r>
    </w:p>
    <w:p>
      <w:pPr>
        <w:pStyle w:val="Compact"/>
        <w:numPr>
          <w:ilvl w:val="0"/>
          <w:numId w:val="1003"/>
        </w:numPr>
      </w:pPr>
      <w:r>
        <w:t xml:space="preserve">automation;</w:t>
      </w:r>
    </w:p>
    <w:p>
      <w:pPr>
        <w:pStyle w:val="Compact"/>
        <w:numPr>
          <w:ilvl w:val="0"/>
          <w:numId w:val="1003"/>
        </w:numPr>
      </w:pPr>
      <w:r>
        <w:t xml:space="preserve">customer engagement;</w:t>
      </w:r>
    </w:p>
    <w:p>
      <w:pPr>
        <w:pStyle w:val="Compact"/>
        <w:numPr>
          <w:ilvl w:val="0"/>
          <w:numId w:val="1003"/>
        </w:numPr>
      </w:pPr>
      <w:r>
        <w:t xml:space="preserve">operational efficiency;</w:t>
      </w:r>
    </w:p>
    <w:p>
      <w:pPr>
        <w:pStyle w:val="Compact"/>
        <w:numPr>
          <w:ilvl w:val="0"/>
          <w:numId w:val="1003"/>
        </w:numPr>
      </w:pPr>
      <w:r>
        <w:t xml:space="preserve">sales visibility;</w:t>
      </w:r>
    </w:p>
    <w:p>
      <w:pPr>
        <w:pStyle w:val="Compact"/>
        <w:numPr>
          <w:ilvl w:val="0"/>
          <w:numId w:val="1003"/>
        </w:numPr>
      </w:pPr>
      <w:r>
        <w:t xml:space="preserve">staff management.</w:t>
      </w:r>
    </w:p>
    <w:p>
      <w:pPr>
        <w:pStyle w:val="FirstParagraph"/>
      </w:pPr>
      <w:r>
        <w:t xml:space="preserve">However, we do not guarantee any specific:</w:t>
      </w:r>
    </w:p>
    <w:p>
      <w:pPr>
        <w:pStyle w:val="Compact"/>
        <w:numPr>
          <w:ilvl w:val="0"/>
          <w:numId w:val="1004"/>
        </w:numPr>
      </w:pPr>
      <w:r>
        <w:t xml:space="preserve">revenue increase;</w:t>
      </w:r>
    </w:p>
    <w:p>
      <w:pPr>
        <w:pStyle w:val="Compact"/>
        <w:numPr>
          <w:ilvl w:val="0"/>
          <w:numId w:val="1004"/>
        </w:numPr>
      </w:pPr>
      <w:r>
        <w:t xml:space="preserve">profit;</w:t>
      </w:r>
    </w:p>
    <w:p>
      <w:pPr>
        <w:pStyle w:val="Compact"/>
        <w:numPr>
          <w:ilvl w:val="0"/>
          <w:numId w:val="1004"/>
        </w:numPr>
      </w:pPr>
      <w:r>
        <w:t xml:space="preserve">sales volume;</w:t>
      </w:r>
    </w:p>
    <w:p>
      <w:pPr>
        <w:pStyle w:val="Compact"/>
        <w:numPr>
          <w:ilvl w:val="0"/>
          <w:numId w:val="1004"/>
        </w:numPr>
      </w:pPr>
      <w:r>
        <w:t xml:space="preserve">lead conversion rate;</w:t>
      </w:r>
    </w:p>
    <w:p>
      <w:pPr>
        <w:pStyle w:val="Compact"/>
        <w:numPr>
          <w:ilvl w:val="0"/>
          <w:numId w:val="1004"/>
        </w:numPr>
      </w:pPr>
      <w:r>
        <w:t xml:space="preserve">customer retention;</w:t>
      </w:r>
    </w:p>
    <w:p>
      <w:pPr>
        <w:pStyle w:val="Compact"/>
        <w:numPr>
          <w:ilvl w:val="0"/>
          <w:numId w:val="1004"/>
        </w:numPr>
      </w:pPr>
      <w:r>
        <w:t xml:space="preserve">membership growth;</w:t>
      </w:r>
    </w:p>
    <w:p>
      <w:pPr>
        <w:pStyle w:val="Compact"/>
        <w:numPr>
          <w:ilvl w:val="0"/>
          <w:numId w:val="1004"/>
        </w:numPr>
      </w:pPr>
      <w:r>
        <w:t xml:space="preserve">return on investment.</w:t>
      </w:r>
    </w:p>
    <w:p>
      <w:pPr>
        <w:pStyle w:val="FirstParagraph"/>
      </w:pPr>
      <w:r>
        <w:t xml:space="preserve">Business results depend on numerous factors outside our control.</w:t>
      </w:r>
    </w:p>
    <w:bookmarkEnd w:id="12"/>
    <w:bookmarkStart w:id="13" w:name="ai-disclaimer"/>
    <w:p>
      <w:pPr>
        <w:pStyle w:val="Heading2"/>
      </w:pPr>
      <w:r>
        <w:t xml:space="preserve">5. AI Disclaimer</w:t>
      </w:r>
    </w:p>
    <w:p>
      <w:pPr>
        <w:pStyle w:val="FirstParagraph"/>
      </w:pPr>
      <w:r>
        <w:t xml:space="preserve">Artificial intelligence features may generate incorrect, incomplete, outdated, unsuitable, or unexpected outputs.</w:t>
      </w:r>
    </w:p>
    <w:p>
      <w:pPr>
        <w:pStyle w:val="BodyText"/>
      </w:pPr>
      <w:r>
        <w:t xml:space="preserve">AI results should not be treated as verified professional advice.</w:t>
      </w:r>
    </w:p>
    <w:p>
      <w:pPr>
        <w:pStyle w:val="BodyText"/>
      </w:pPr>
      <w:r>
        <w:t xml:space="preserve">Users should independently review AI-generated communications, recommendations, forecasts, classifications, and reports before relying upon them.</w:t>
      </w:r>
    </w:p>
    <w:bookmarkEnd w:id="13"/>
    <w:bookmarkStart w:id="14" w:name="communication-delivery"/>
    <w:p>
      <w:pPr>
        <w:pStyle w:val="Heading2"/>
      </w:pPr>
      <w:r>
        <w:t xml:space="preserve">6. Communication Delivery</w:t>
      </w:r>
    </w:p>
    <w:p>
      <w:pPr>
        <w:pStyle w:val="FirstParagraph"/>
      </w:pPr>
      <w:r>
        <w:t xml:space="preserve">Syncfyre may facilitate communications through WhatsApp, SMS, email, push notifications, or other services.</w:t>
      </w:r>
    </w:p>
    <w:p>
      <w:pPr>
        <w:pStyle w:val="BodyText"/>
      </w:pPr>
      <w:r>
        <w:t xml:space="preserve">We do not guarantee delivery because messages may be affected by:</w:t>
      </w:r>
    </w:p>
    <w:p>
      <w:pPr>
        <w:pStyle w:val="Compact"/>
        <w:numPr>
          <w:ilvl w:val="0"/>
          <w:numId w:val="1005"/>
        </w:numPr>
      </w:pPr>
      <w:r>
        <w:t xml:space="preserve">third-party service outages;</w:t>
      </w:r>
    </w:p>
    <w:p>
      <w:pPr>
        <w:pStyle w:val="Compact"/>
        <w:numPr>
          <w:ilvl w:val="0"/>
          <w:numId w:val="1005"/>
        </w:numPr>
      </w:pPr>
      <w:r>
        <w:t xml:space="preserve">invalid recipient information;</w:t>
      </w:r>
    </w:p>
    <w:p>
      <w:pPr>
        <w:pStyle w:val="Compact"/>
        <w:numPr>
          <w:ilvl w:val="0"/>
          <w:numId w:val="1005"/>
        </w:numPr>
      </w:pPr>
      <w:r>
        <w:t xml:space="preserve">spam filters;</w:t>
      </w:r>
    </w:p>
    <w:p>
      <w:pPr>
        <w:pStyle w:val="Compact"/>
        <w:numPr>
          <w:ilvl w:val="0"/>
          <w:numId w:val="1005"/>
        </w:numPr>
      </w:pPr>
      <w:r>
        <w:t xml:space="preserve">platform policies;</w:t>
      </w:r>
    </w:p>
    <w:p>
      <w:pPr>
        <w:pStyle w:val="Compact"/>
        <w:numPr>
          <w:ilvl w:val="0"/>
          <w:numId w:val="1005"/>
        </w:numPr>
      </w:pPr>
      <w:r>
        <w:t xml:space="preserve">messaging limits;</w:t>
      </w:r>
    </w:p>
    <w:p>
      <w:pPr>
        <w:pStyle w:val="Compact"/>
        <w:numPr>
          <w:ilvl w:val="0"/>
          <w:numId w:val="1005"/>
        </w:numPr>
      </w:pPr>
      <w:r>
        <w:t xml:space="preserve">network failures;</w:t>
      </w:r>
    </w:p>
    <w:p>
      <w:pPr>
        <w:pStyle w:val="Compact"/>
        <w:numPr>
          <w:ilvl w:val="0"/>
          <w:numId w:val="1005"/>
        </w:numPr>
      </w:pPr>
      <w:r>
        <w:t xml:space="preserve">account restrictions;</w:t>
      </w:r>
    </w:p>
    <w:p>
      <w:pPr>
        <w:pStyle w:val="Compact"/>
        <w:numPr>
          <w:ilvl w:val="0"/>
          <w:numId w:val="1005"/>
        </w:numPr>
      </w:pPr>
      <w:r>
        <w:t xml:space="preserve">recipient settings;</w:t>
      </w:r>
    </w:p>
    <w:p>
      <w:pPr>
        <w:pStyle w:val="Compact"/>
        <w:numPr>
          <w:ilvl w:val="0"/>
          <w:numId w:val="1005"/>
        </w:numPr>
      </w:pPr>
      <w:r>
        <w:t xml:space="preserve">third-party pricing or service changes.</w:t>
      </w:r>
    </w:p>
    <w:bookmarkEnd w:id="14"/>
    <w:bookmarkStart w:id="15" w:name="third-party-services"/>
    <w:p>
      <w:pPr>
        <w:pStyle w:val="Heading2"/>
      </w:pPr>
      <w:r>
        <w:t xml:space="preserve">7. Third-Party Services</w:t>
      </w:r>
    </w:p>
    <w:p>
      <w:pPr>
        <w:pStyle w:val="FirstParagraph"/>
      </w:pPr>
      <w:r>
        <w:t xml:space="preserve">Syncfyre may integrate with independent services and hardware.</w:t>
      </w:r>
    </w:p>
    <w:p>
      <w:pPr>
        <w:pStyle w:val="BodyText"/>
      </w:pPr>
      <w:r>
        <w:t xml:space="preserve">We do not control such third parties and cannot guarantee their continued availability, performance, compatibility, pricing, policies, or security practices.</w:t>
      </w:r>
    </w:p>
    <w:bookmarkEnd w:id="15"/>
    <w:bookmarkStart w:id="16" w:name="payment-gateways"/>
    <w:p>
      <w:pPr>
        <w:pStyle w:val="Heading2"/>
      </w:pPr>
      <w:r>
        <w:t xml:space="preserve">8. Payment Gateways</w:t>
      </w:r>
    </w:p>
    <w:p>
      <w:pPr>
        <w:pStyle w:val="FirstParagraph"/>
      </w:pPr>
      <w:r>
        <w:t xml:space="preserve">Where Syncfyre integrates with payment gateways, payment authorization and settlement may be handled by third-party financial service providers.</w:t>
      </w:r>
    </w:p>
    <w:p>
      <w:pPr>
        <w:pStyle w:val="BodyText"/>
      </w:pPr>
      <w:r>
        <w:t xml:space="preserve">Synckraft does not guarantee successful authorization, settlement time, reversal time, banking availability, or payment gateway uptime.</w:t>
      </w:r>
    </w:p>
    <w:bookmarkEnd w:id="16"/>
    <w:bookmarkStart w:id="17" w:name="attendance-and-biometric-devices"/>
    <w:p>
      <w:pPr>
        <w:pStyle w:val="Heading2"/>
      </w:pPr>
      <w:r>
        <w:t xml:space="preserve">9. Attendance and Biometric Devices</w:t>
      </w:r>
    </w:p>
    <w:p>
      <w:pPr>
        <w:pStyle w:val="FirstParagraph"/>
      </w:pPr>
      <w:r>
        <w:t xml:space="preserve">Attendance, fingerprint, facial-recognition, RFID, QR, or access-control information may depend on external hardware and software.</w:t>
      </w:r>
    </w:p>
    <w:p>
      <w:pPr>
        <w:pStyle w:val="BodyText"/>
      </w:pPr>
      <w:r>
        <w:t xml:space="preserve">We do not guarantee that every scan, identification, sync, device log, or attendance record will be error-free.</w:t>
      </w:r>
    </w:p>
    <w:p>
      <w:pPr>
        <w:pStyle w:val="BodyText"/>
      </w:pPr>
      <w:r>
        <w:t xml:space="preserve">Businesses should maintain suitable operational controls where attendance has payroll, security, legal, or access consequences.</w:t>
      </w:r>
    </w:p>
    <w:bookmarkEnd w:id="17"/>
    <w:bookmarkStart w:id="18" w:name="availability"/>
    <w:p>
      <w:pPr>
        <w:pStyle w:val="Heading2"/>
      </w:pPr>
      <w:r>
        <w:t xml:space="preserve">10. Availability</w:t>
      </w:r>
    </w:p>
    <w:p>
      <w:pPr>
        <w:pStyle w:val="FirstParagraph"/>
      </w:pPr>
      <w:r>
        <w:t xml:space="preserve">Although we aim to provide reliable access, Syncfyre may occasionally become unavailable because of maintenance, software updates, internet outages, infrastructure failures, third-party failures, security events, or circumstances outside our reasonable control.</w:t>
      </w:r>
    </w:p>
    <w:bookmarkEnd w:id="18"/>
    <w:bookmarkStart w:id="19" w:name="data-backup"/>
    <w:p>
      <w:pPr>
        <w:pStyle w:val="Heading2"/>
      </w:pPr>
      <w:r>
        <w:t xml:space="preserve">11. Data Backup</w:t>
      </w:r>
    </w:p>
    <w:p>
      <w:pPr>
        <w:pStyle w:val="FirstParagraph"/>
      </w:pPr>
      <w:r>
        <w:t xml:space="preserve">We may maintain infrastructure backups, but customers should independently export or retain important records where appropriate.</w:t>
      </w:r>
    </w:p>
    <w:p>
      <w:pPr>
        <w:pStyle w:val="BodyText"/>
      </w:pPr>
      <w:r>
        <w:t xml:space="preserve">Syncfyre should not be treated as the sole archival repository for records that a business is legally required to preserve.</w:t>
      </w:r>
    </w:p>
    <w:bookmarkEnd w:id="19"/>
    <w:bookmarkStart w:id="20" w:name="regulatory-compliance"/>
    <w:p>
      <w:pPr>
        <w:pStyle w:val="Heading2"/>
      </w:pPr>
      <w:r>
        <w:t xml:space="preserve">12. Regulatory Compliance</w:t>
      </w:r>
    </w:p>
    <w:p>
      <w:pPr>
        <w:pStyle w:val="FirstParagraph"/>
      </w:pPr>
      <w:r>
        <w:t xml:space="preserve">Syncfyre provides functionality that may assist businesses in their operations.</w:t>
      </w:r>
    </w:p>
    <w:p>
      <w:pPr>
        <w:pStyle w:val="BodyText"/>
      </w:pPr>
      <w:r>
        <w:t xml:space="preserve">It is the customer’s responsibility to determine and comply with laws applicable to its:</w:t>
      </w:r>
    </w:p>
    <w:p>
      <w:pPr>
        <w:pStyle w:val="Compact"/>
        <w:numPr>
          <w:ilvl w:val="0"/>
          <w:numId w:val="1006"/>
        </w:numPr>
      </w:pPr>
      <w:r>
        <w:t xml:space="preserve">industry;</w:t>
      </w:r>
    </w:p>
    <w:p>
      <w:pPr>
        <w:pStyle w:val="Compact"/>
        <w:numPr>
          <w:ilvl w:val="0"/>
          <w:numId w:val="1006"/>
        </w:numPr>
      </w:pPr>
      <w:r>
        <w:t xml:space="preserve">customers;</w:t>
      </w:r>
    </w:p>
    <w:p>
      <w:pPr>
        <w:pStyle w:val="Compact"/>
        <w:numPr>
          <w:ilvl w:val="0"/>
          <w:numId w:val="1006"/>
        </w:numPr>
      </w:pPr>
      <w:r>
        <w:t xml:space="preserve">employees;</w:t>
      </w:r>
    </w:p>
    <w:p>
      <w:pPr>
        <w:pStyle w:val="Compact"/>
        <w:numPr>
          <w:ilvl w:val="0"/>
          <w:numId w:val="1006"/>
        </w:numPr>
      </w:pPr>
      <w:r>
        <w:t xml:space="preserve">memberships;</w:t>
      </w:r>
    </w:p>
    <w:p>
      <w:pPr>
        <w:pStyle w:val="Compact"/>
        <w:numPr>
          <w:ilvl w:val="0"/>
          <w:numId w:val="1006"/>
        </w:numPr>
      </w:pPr>
      <w:r>
        <w:t xml:space="preserve">taxation;</w:t>
      </w:r>
    </w:p>
    <w:p>
      <w:pPr>
        <w:pStyle w:val="Compact"/>
        <w:numPr>
          <w:ilvl w:val="0"/>
          <w:numId w:val="1006"/>
        </w:numPr>
      </w:pPr>
      <w:r>
        <w:t xml:space="preserve">billing;</w:t>
      </w:r>
    </w:p>
    <w:p>
      <w:pPr>
        <w:pStyle w:val="Compact"/>
        <w:numPr>
          <w:ilvl w:val="0"/>
          <w:numId w:val="1006"/>
        </w:numPr>
      </w:pPr>
      <w:r>
        <w:t xml:space="preserve">communications;</w:t>
      </w:r>
    </w:p>
    <w:p>
      <w:pPr>
        <w:pStyle w:val="Compact"/>
        <w:numPr>
          <w:ilvl w:val="0"/>
          <w:numId w:val="1006"/>
        </w:numPr>
      </w:pPr>
      <w:r>
        <w:t xml:space="preserve">advertising;</w:t>
      </w:r>
    </w:p>
    <w:p>
      <w:pPr>
        <w:pStyle w:val="Compact"/>
        <w:numPr>
          <w:ilvl w:val="0"/>
          <w:numId w:val="1006"/>
        </w:numPr>
      </w:pPr>
      <w:r>
        <w:t xml:space="preserve">data protection;</w:t>
      </w:r>
    </w:p>
    <w:p>
      <w:pPr>
        <w:pStyle w:val="Compact"/>
        <w:numPr>
          <w:ilvl w:val="0"/>
          <w:numId w:val="1006"/>
        </w:numPr>
      </w:pPr>
      <w:r>
        <w:t xml:space="preserve">biometric collection;</w:t>
      </w:r>
    </w:p>
    <w:p>
      <w:pPr>
        <w:pStyle w:val="Compact"/>
        <w:numPr>
          <w:ilvl w:val="0"/>
          <w:numId w:val="1006"/>
        </w:numPr>
      </w:pPr>
      <w:r>
        <w:t xml:space="preserve">healthcare operations;</w:t>
      </w:r>
    </w:p>
    <w:p>
      <w:pPr>
        <w:pStyle w:val="Compact"/>
        <w:numPr>
          <w:ilvl w:val="0"/>
          <w:numId w:val="1006"/>
        </w:numPr>
      </w:pPr>
      <w:r>
        <w:t xml:space="preserve">financial records;</w:t>
      </w:r>
    </w:p>
    <w:p>
      <w:pPr>
        <w:pStyle w:val="Compact"/>
        <w:numPr>
          <w:ilvl w:val="0"/>
          <w:numId w:val="1006"/>
        </w:numPr>
      </w:pPr>
      <w:r>
        <w:t xml:space="preserve">consumer obligations.</w:t>
      </w:r>
    </w:p>
    <w:p>
      <w:pPr>
        <w:pStyle w:val="FirstParagraph"/>
      </w:pPr>
      <w:r>
        <w:t xml:space="preserve">Availability of a Syncfyre feature does not itself mean that its use is legally permitted in every situation.</w:t>
      </w:r>
    </w:p>
    <w:bookmarkEnd w:id="20"/>
    <w:bookmarkStart w:id="21" w:name="limitation"/>
    <w:p>
      <w:pPr>
        <w:pStyle w:val="Heading2"/>
      </w:pPr>
      <w:r>
        <w:t xml:space="preserve">13. Limitation</w:t>
      </w:r>
    </w:p>
    <w:p>
      <w:pPr>
        <w:pStyle w:val="FirstParagraph"/>
      </w:pPr>
      <w:r>
        <w:t xml:space="preserve">Nothing in this Disclaimer excludes any liability or statutory right that cannot lawfully be excluded under applicable law.</w:t>
      </w:r>
    </w:p>
    <w:p>
      <w:pPr>
        <w:pStyle w:val="BodyText"/>
      </w:pPr>
      <w:r>
        <w:t xml:space="preserve">For additional legal provisions, please review the Syncfyre Terms and Conditions, Privacy Policy, and Refund Policy.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