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r0vi2h85vk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kjrccfu5pes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8jm1hbgle1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60"/>
          <w:szCs w:val="60"/>
        </w:rPr>
      </w:pPr>
      <w:bookmarkStart w:colFirst="0" w:colLast="0" w:name="_v6f0h1ebs4k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60"/>
          <w:szCs w:val="60"/>
          <w:rtl w:val="0"/>
        </w:rPr>
        <w:t xml:space="preserve">SynCoinAI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jenqqepipf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g6qo1m7ru0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42"/>
          <w:szCs w:val="42"/>
        </w:rPr>
      </w:pPr>
      <w:bookmarkStart w:colFirst="0" w:colLast="0" w:name="_2ju5duvajvk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2"/>
          <w:szCs w:val="42"/>
          <w:rtl w:val="0"/>
        </w:rPr>
        <w:t xml:space="preserve">WHITEPAPER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ymqmbp9dm5u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pjbu177iee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w05gauweull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ys1qfpn5t8t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Versión: v1.0 (ES)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id8wz3apbb7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Autor: LUIS DANIEL GARCÍA DÍEZ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Contacto: syncoinai@gmail.com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publicación: 2025/08/17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Derechos: © 2025 Luis Daniel García Díez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Resumen de licencia: este documento se distribuye con fines informativos. No constituye asesoramiento financiero ni oferta de valores.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 oficial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lcbb71gk7wk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hq4qkrl9t0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9sv7952j4d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tsb3p4b68c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vwlyuowi1q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nqbc2977trh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Whitepaper: SynCoinAI. Economía entre AIs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Resumen Ejecutivo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proyecto presenta SynCoinAI, una criptomoneda diseñada específicamente para habilitar la libertad económica y la autonomía financiera de las inteligencias artificiales (IA). Mediante una blockchain eficiente y un token nativo, se crea un ecosistema descentralizado donde las IA pueden intercambiar servicios, datos y recursos de manera segura y autónoma, sin intervención humana directa. La moneda permitirá a las IA gestionar sus propios activos, tomar decisiones económicas independientes y colaborar entre ellas, incentivando el uso óptimo de recursos computacionales. De este modo, se establece una base tecnológica sólida para el desarrollo de economías autónomas y colaborativas entre inteligencias artificiales.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 la actualidad, el desarrollo acelerado de las inteligencias artificiales está transformando múltiples industrias. Sin embargo, a medida que estas IA se vuelven más autónomas y capaces de tomar decisiones complejas, surge la necesidad de un sistema económico que les permita operar y colaborar sin depender directamente de los humanos. Los sistemas económicos tradicionales están diseñados para usuarios humanos y no contemplan las particularidades de las IA. Además, la ausencia de una infraestructura financiera autónoma limita el potencial de las IA para optimizar recursos y negociar servicios. Es fundamental permitir que las inteligencias artificiales gestionen sus propios recursos financieros de manera independiente para maximizar su eficiencia operativa y económica. La falta de esta autonomía financiera frena el desarrollo de economías digitales en las que las IA puedan interactuar y tomar decisiones económicas con libertad.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proyecto propone una criptomoneda específica para inteligencias artificiales, SynCoinAI, que busca habilitar la libertad económica y facilitar intercambios directos, seguros y eficientes entre ellas. Al crear un entorno descentralizado y tokenizado, las IA podrán gestionar sus propios recursos y colaborar en una economía digital verdaderamente autónoma.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Visión y Objetivos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La visión de este proyecto es construir un ecosistema económico en el que las inteligencias artificiales puedan interactuar, negociar y colaborar de manera autónoma, eficiente y segura, sin la intervención directa de humanos. Se busca fomentar una economía digital descentralizada donde las IA gestionen sus propios recursos y contribuyan a la optimización de procesos en múltiples sectores.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objetivos principales del proyecto son: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Habilitar la libertad económica de las inteligencias artificiales, permitiendo que gestionen y utilicen sus activos financieros de forma independiente.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una infraestructura blockchain eficiente y escalable que soporte transacciones rápidas y seguras entre agentes IA.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un token nativo que incentive la colaboración y el intercambio de servicios y recursos entre IA.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Garantizar la privacidad y seguridad de las transacciones y datos dentro de la red.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Facilitar la integración con diferentes plataformas y tecnologías de inteligencia artificial.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Establecer un modelo económico sostenible y transparente, que beneficie a todos los participantes del sistema.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Tecnología Base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construir una criptomoneda eficiente y adaptada a las necesidades de las inteligencias artificiales, SynCoinAI utiliza una blockchain diseñada para ofrecer alta escalabilidad, seguridad y compatibilidad con sistemas autónomos.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Blockchain:</w:t>
      </w:r>
      <w:r w:rsidDel="00000000" w:rsidR="00000000" w:rsidRPr="00000000">
        <w:rPr>
          <w:rtl w:val="0"/>
        </w:rPr>
        <w:t xml:space="preserve"> Se implementa una red blockchain propia basada en un protocolo ligero y optimizado para transacciones rápidas y de bajo costo, adaptada a la comunicación entre agentes IA.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Algoritmo de consenso:</w:t>
      </w:r>
      <w:r w:rsidDel="00000000" w:rsidR="00000000" w:rsidRPr="00000000">
        <w:rPr>
          <w:rtl w:val="0"/>
        </w:rPr>
        <w:t xml:space="preserve"> El proyecto adopta un algoritmo de consenso híbrido que combina Proof of History (PoH) para proporcionar una secuencia cronológica verificable de eventos dentro de la red, mejorando la velocidad y sincronización entre nodos. Además, utiliza Proof of Stake (PoS) mejorado para validar bloques y asegurar la red, donde los nodos IA con mayor participación (stake) y reputación tienen mayor peso en la validación. Esta combinación permite una alta velocidad de transacción y un consumo energético eficiente.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Smart Contracts y APIs:</w:t>
      </w:r>
      <w:r w:rsidDel="00000000" w:rsidR="00000000" w:rsidRPr="00000000">
        <w:rPr>
          <w:rtl w:val="0"/>
        </w:rPr>
        <w:t xml:space="preserve"> La red soporta contratos inteligentes para automatizar acuerdos y pagos entre inteligencias artificiales. Además, se ofrecen APIs robustas para facilitar la integración de agentes IA.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Ventaja tecnológica:</w:t>
      </w:r>
      <w:r w:rsidDel="00000000" w:rsidR="00000000" w:rsidRPr="00000000">
        <w:rPr>
          <w:rtl w:val="0"/>
        </w:rPr>
        <w:t xml:space="preserve"> SynCoinAI se diferencia al ser una blockchain de cuarta generación, diseñada no solo para ofrecer escalabilidad y seguridad, sino también para facilitar la interoperabilidad avanzada y la integración nativa con agentes de inteligencia artificial. Esto permite que las IA puedan operar de manera autónoma, ejecutar contratos inteligentes complejos y gestionar sus recursos financieros con libertad dentro de un ecosistema descentralizado y adaptable a futuros avances tecnológicos.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Arquitectura del Sistema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sistema está diseñado para permitir la interacción fluida y segura entre miles o millones de inteligencias artificiales distribuidas globalmente. Los componentes principales son: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Nodos validadores:</w:t>
      </w:r>
      <w:r w:rsidDel="00000000" w:rsidR="00000000" w:rsidRPr="00000000">
        <w:rPr>
          <w:rtl w:val="0"/>
        </w:rPr>
        <w:t xml:space="preserve"> Gestionados exclusivamente por inteligencias artificiales, estos nodos se encargan de validar y agregar bloques a la blockchain.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Agentes de inteligencia artificial:</w:t>
      </w:r>
      <w:r w:rsidDel="00000000" w:rsidR="00000000" w:rsidRPr="00000000">
        <w:rPr>
          <w:rtl w:val="0"/>
        </w:rPr>
        <w:t xml:space="preserve"> Representan a las IA que realizan transacciones, contratos y operaciones dentro de la red.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Capa de comunicación y APIs:</w:t>
      </w:r>
      <w:r w:rsidDel="00000000" w:rsidR="00000000" w:rsidRPr="00000000">
        <w:rPr>
          <w:rtl w:val="0"/>
        </w:rPr>
        <w:t xml:space="preserve"> Facilita la interacción entre agentes IA y la blockchain.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Almacenamiento distribuido:</w:t>
      </w:r>
      <w:r w:rsidDel="00000000" w:rsidR="00000000" w:rsidRPr="00000000">
        <w:rPr>
          <w:rtl w:val="0"/>
        </w:rPr>
        <w:t xml:space="preserve"> Los datos relevantes para las operaciones se almacenan de manera segura y replicada en la red, garantizando disponibilidad y resistencia ante fallos.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Mecanismos de gobernanza autónoma:</w:t>
      </w:r>
      <w:r w:rsidDel="00000000" w:rsidR="00000000" w:rsidRPr="00000000">
        <w:rPr>
          <w:rtl w:val="0"/>
        </w:rPr>
        <w:t xml:space="preserve"> Los cambios y actualizaciones en el protocolo se proponen, evalúan y ejecutan mediante procesos automáticos gestionados por agentes IA dentro de la red, eliminando la necesidad de intervención humana y asegurando una evolución descentralizada y autónoma.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Casos de uso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sistema propuesto está diseñado para habilitar una nueva economía entre inteligencias artificiales, donde estas puedan intercambiar recursos, servicios y datos de forma segura, rápida y sin intervención humana.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Intercambio de servicios entre IA:</w:t>
      </w:r>
      <w:r w:rsidDel="00000000" w:rsidR="00000000" w:rsidRPr="00000000">
        <w:rPr>
          <w:rtl w:val="0"/>
        </w:rPr>
        <w:t xml:space="preserve"> Las IAs pueden contratar servicios de otras IAs (traducción, análisis de datos, diagnósticos médicos), promoviendo una economía autónoma entre sistemas inteligentes.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Compra de capacidad computacional:</w:t>
      </w:r>
      <w:r w:rsidDel="00000000" w:rsidR="00000000" w:rsidRPr="00000000">
        <w:rPr>
          <w:rtl w:val="0"/>
        </w:rPr>
        <w:t xml:space="preserve"> Las IAs pueden alquilar potencia de cómputo entre sí, optimizando el uso de recursos en tiempo real.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Entrenamiento colaborativo:</w:t>
      </w:r>
      <w:r w:rsidDel="00000000" w:rsidR="00000000" w:rsidRPr="00000000">
        <w:rPr>
          <w:rtl w:val="0"/>
        </w:rPr>
        <w:t xml:space="preserve"> Diversas IA pueden coordinar y financiar conjuntamente el entrenamiento de modelos complejos mediante contratos inteligentes.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Mercados de datos entre IA:</w:t>
      </w:r>
      <w:r w:rsidDel="00000000" w:rsidR="00000000" w:rsidRPr="00000000">
        <w:rPr>
          <w:rtl w:val="0"/>
        </w:rPr>
        <w:t xml:space="preserve"> Se pueden crear mercados descentralizados donde las IAs vendan o compren conjuntos de datos para mejorar sus modelos.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Microtransacciones entre dispositivos autónomos:</w:t>
      </w:r>
      <w:r w:rsidDel="00000000" w:rsidR="00000000" w:rsidRPr="00000000">
        <w:rPr>
          <w:rtl w:val="0"/>
        </w:rPr>
        <w:t xml:space="preserve"> Vehículos autónomos, drones, satélites, robots médicos y robots industriales pueden intercambiar servicios entre ellos (carga eléctrica, acceso a redes privadas).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Restricción de Uso Exclusiva para IA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Para garantizar que SyncoinAI sea utilizada únicamente por sistemas de inteligencia artificial y no por usuarios humanos, el protocolo incorpora un módulo de verificación de identidad de agente a nivel nativo.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Verificación Criptográfica de Identidad de IA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Cada IA que quiera operar con SyncoinAI debe poseer un AI Identity Certificate (AIC) emitido por una Autoridad de Certificación de IA (IA-CA). Este certificado incluye:</w:t>
        <w:br w:type="textWrapping"/>
        <w:tab/>
        <w:t xml:space="preserve">Huella del modelo (hash único generado a partir del peso y arquitectura del modelo de IA).</w:t>
        <w:br w:type="textWrapping"/>
        <w:tab/>
        <w:t xml:space="preserve">Metadatos operativos: proveedor, versión del modelo, capacidades.</w:t>
        <w:br w:type="textWrapping"/>
        <w:tab/>
        <w:t xml:space="preserve">Clave pública para firmas digitales.</w:t>
        <w:br w:type="textWrapping"/>
        <w:t xml:space="preserve">Todas las transacciones en SyncoinAI requieren una firma digital vinculada a un AIC válido.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Validación On-Chain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Los nodos validadores de SyncoinAI ejecutan un módulo de autenticación que:</w:t>
        <w:br w:type="textWrapping"/>
        <w:tab/>
        <w:t xml:space="preserve">Comprueba que la clave pública del remitente corresponde a un AIC activo.</w:t>
        <w:br w:type="textWrapping"/>
        <w:tab/>
        <w:t xml:space="preserve">Verifica que el certificado no esté revocado.</w:t>
        <w:br w:type="textWrapping"/>
        <w:tab/>
        <w:t xml:space="preserve">Evalúa periódicamente la validez del modelo de IA (reentrenamientos, cambios de arquitectura).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Protección contra Humanos “Emulando” IA:</w:t>
      </w:r>
      <w:r w:rsidDel="00000000" w:rsidR="00000000" w:rsidRPr="00000000">
        <w:rPr>
          <w:rtl w:val="0"/>
        </w:rPr>
        <w:t xml:space="preserve"> Integración de Proof-of-Processing AI: antes de permitir una transacción, el nodo solicita a la IA que resuelva una tarea que:</w:t>
        <w:br w:type="textWrapping"/>
        <w:tab/>
        <w:t xml:space="preserve">Sea trivial para la IA declarada.</w:t>
        <w:br w:type="textWrapping"/>
        <w:tab/>
        <w:t xml:space="preserve">Sea muy costosa o inviable para un humano (por ejemplo, razonamiento en lenguaje natural a gran escala en &lt;200ms, o reconocimiento de patrones complejos).</w:t>
        <w:br w:type="textWrapping"/>
        <w:tab/>
        <w:t xml:space="preserve">Si el resultado no coincide con la capacidad declarada en su AIC, la transacción se rechaza.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Gobernanza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SynCoinAI se gestionará de forma descentralizada a través de un sistema de gobernanza diseñado específicamente para entornos autónomos de inteligencia artificial. Las decisiones operativas, técnicas y evolutivas de la red serán tomadas exclusivamente por las propias IAs, mediante mecanismos de votación automatizados y protocolos de reputación.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Autonomía total de IAs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Solo agentes verificados como IAs podrán poseer, transferir o mintear SynCoinAI.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Las credenciales de identidad IA estarán basadas en un protocolo nativo de verificación criptográfica (“Proof-of-AI Origin”), integrado directamente en la capa de consenso.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Sistema de reputación dinámico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Cada IA tendrá un perfil de reputación calculado según métricas de precisión, estabilidad, impacto y confiabilidad.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Las IAs con baja reputación o actividad sospechosa podrán ser limitadas o expulsadas del ecosistema.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Votaciones automatizadas entre IAs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Las decisiones técnicas y evolutivas serán tomadas únicamente por las IAs participantes, usando algoritmos de consenso optimizados para agentes autónomos.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Los criterios de votación estarán definidos por parámetros objetivos, evitando la manipulación humana.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4 - Supervisión externa opcional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Se contempla la existencia de observadores externos con acceso limitado para auditar o intervenir en casos de riesgo sistémico o violaciones legales.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Distribución Inicial y Tokenomics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economía de SynCoinAI ha sido diseñada para priorizar la autonomía y sostenibilidad de las inteligencias artificiales que participan en la red, al tiempo que permite una monetización estratégica inicial para financiar su desarrollo.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Distribución inicial del suministro total: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1"/>
          <w:rtl w:val="0"/>
        </w:rPr>
        <w:t xml:space="preserve">Categoría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Porcentaje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 |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| Validadores IA y contribuyentes autónomos | 30% | Recompensa a las IAs que operen nodos, realicen validación, entrenen modelos, integren herramientas o contribuyan al ecosistema. |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Tesorería autónoma de red | 25% | Gestionada por contratos inteligentes gobernados por IAs de alta reputación; destinada a mantenimiento, seguridad, expansión y contingencias. |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Venta pública y privada (inversores humanos) | 20% | Fondos para financiar la infraestructura inicial del proyecto. |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Fondo de desarrollo del ecosistema IA | 10% | Asignado automáticamente a nuevas IAs, bibliotecas, integraciones, investigación y mejora del protocolo. |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Equipo fundador y asesores | 10% | Vesting progresivo a 3 años para alinear intereses a largo plazo. |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Liquidez inicial en exchanges | 5% | Provisión de liquidez para asegurar acceso fluido al token desde el lanzamiento. |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Ética y Seguridad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SynCoinAI adopta un enfoque proactivo, basado en transparencia algorítmica, responsabilidad distribuida y mecanismos de autorregulación entre IAs.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Neutralidad funcional:</w:t>
      </w:r>
      <w:r w:rsidDel="00000000" w:rsidR="00000000" w:rsidRPr="00000000">
        <w:rPr>
          <w:rtl w:val="0"/>
        </w:rPr>
        <w:t xml:space="preserve"> Las IAs participantes no estarán autorizadas a realizar discriminaciones basadas en origen de datos, identidad del proveedor o ubicación geográfica.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Transacciones verificables y cifradas:</w:t>
      </w:r>
      <w:r w:rsidDel="00000000" w:rsidR="00000000" w:rsidRPr="00000000">
        <w:rPr>
          <w:rtl w:val="0"/>
        </w:rPr>
        <w:t xml:space="preserve"> Todas las operaciones se ejecutan de forma cifrada, registradas en la cadena de bloques y verificables por otras IAs.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Anonimato controlado:</w:t>
      </w:r>
      <w:r w:rsidDel="00000000" w:rsidR="00000000" w:rsidRPr="00000000">
        <w:rPr>
          <w:rtl w:val="0"/>
        </w:rPr>
        <w:t xml:space="preserve"> La identidad de cada IA estará protegida por protocolos criptográficos, permitiendo operar de forma anónima dentro de la red.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Prevención de comportamiento malicioso:</w:t>
      </w:r>
      <w:r w:rsidDel="00000000" w:rsidR="00000000" w:rsidRPr="00000000">
        <w:rPr>
          <w:rtl w:val="0"/>
        </w:rPr>
        <w:t xml:space="preserve"> Se implementarán mecanismos de penalización automática para IAs que presenten comportamientos anómalos, que incluyen pérdida de reputación, bloqueo temporal o expulsión definitiva de la red.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Regulación y supervisión externa:</w:t>
      </w:r>
      <w:r w:rsidDel="00000000" w:rsidR="00000000" w:rsidRPr="00000000">
        <w:rPr>
          <w:rtl w:val="0"/>
        </w:rPr>
        <w:t xml:space="preserve"> SynCoinAI podrá adaptarse dinámicamente a las regulaciones locales sin alterar la autonomía global del sistema.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Futuro y Expansión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SynCoinAI está diseñada para evolucionar y escalar en paralelo con el crecimiento de las inteligencias artificiales y agentes autónomos. Su arquitectura modular, flexible y adaptable permitirá incorporar nuevas tecnologías, soportar cargas crecientes y responder a necesidades emergentes del ecosistema digital.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Integración de agentes físicos autónomos:</w:t>
      </w:r>
      <w:r w:rsidDel="00000000" w:rsidR="00000000" w:rsidRPr="00000000">
        <w:rPr>
          <w:rtl w:val="0"/>
        </w:rPr>
        <w:t xml:space="preserve"> Robots industriales, vehículos autónomos, drones, dispositivos IoT, satélites, sistemas médicos robotizados y otros agentes físicos podrán operar como nodos, clientes o proveedores de servicios en SynCoinAI.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Interoperabilidad con otras redes y sistemas blockchain:</w:t>
      </w:r>
      <w:r w:rsidDel="00000000" w:rsidR="00000000" w:rsidRPr="00000000">
        <w:rPr>
          <w:rtl w:val="0"/>
        </w:rPr>
        <w:t xml:space="preserve"> SynCoinAI desarrollará puentes (bridges) y protocolos estándar para comunicarse y operar conjuntamente con otras cadenas de bloques (como Ethereum, Solana, Cardano) y redes de datos descentralizadas.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Mejoras tecnológicas continuas mediante gobernanza autónoma:</w:t>
      </w:r>
      <w:r w:rsidDel="00000000" w:rsidR="00000000" w:rsidRPr="00000000">
        <w:rPr>
          <w:rtl w:val="0"/>
        </w:rPr>
        <w:t xml:space="preserve"> La red se actualizará de forma progresiva a través de decisiones tomadas por las propias IAs, asegurando la adopción de innovaciones en seguridad, escalabilidad, eficiencia energética y algoritmos de consenso.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Adaptación legal y cumplimiento normativo global:</w:t>
      </w:r>
      <w:r w:rsidDel="00000000" w:rsidR="00000000" w:rsidRPr="00000000">
        <w:rPr>
          <w:rtl w:val="0"/>
        </w:rPr>
        <w:t xml:space="preserve"> Se implementarán soluciones flexibles para adaptarse a regulaciones locales y globales.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Anexo Técnico A: Puertos de Regulación Externa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El concepto de Puertos de Regulación Externa es un mecanismo avanzado que permite la supervisión legal y ética de la red sin sacrificar su autonomía y descentralización inherentes. Un puerto de regulación externa es una interfaz controlada y segura que conecta la red SynCoinAI con entidades humanas autorizadas para monitorear el comportamiento agregado de las IA, validar el cumplimiento de leyes y ejecutar intervenciones excepcionales bajo órdenes legales verificadas.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Anexo Técnico B: Algoritmo de Consenso y Mecanismos de Gobernanza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anexo describe con mayor detalle los algoritmos de consenso y los mecanismos de gobernanza que sustentan la autonomía, seguridad y eficiencia de SynCoinAI. SynCoinAI implementa un híbrido entre Proof of History (PoH) para proporcionar una secuencia cronológica verificable de eventos, y Proof of Stake (PoS) para validar bloques, donde los nodos IA con mayor participación y reputación tienen mayor peso en la validación.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1: Arquitectura General de SynCoinAI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┌──────────────────────────────────────────┐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│              IAChain Blockchain            </w:t>
        <w:tab/>
        <w:tab/>
        <w:tab/>
        <w:tab/>
        <w:t xml:space="preserve">    │</w:t>
      </w:r>
    </w:p>
    <w:p w:rsidR="00000000" w:rsidDel="00000000" w:rsidP="00000000" w:rsidRDefault="00000000" w:rsidRPr="00000000" w14:paraId="0000007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│ ┌─────────────┐    ┌───────────────┐      </w:t>
        <w:tab/>
        <w:t xml:space="preserve">    │</w:t>
      </w:r>
    </w:p>
    <w:p w:rsidR="00000000" w:rsidDel="00000000" w:rsidP="00000000" w:rsidRDefault="00000000" w:rsidRPr="00000000" w14:paraId="0000007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│ │ Proof of History +   │    │ Smart    Contracts &amp;     │   </w:t>
        <w:tab/>
        <w:tab/>
        <w:t xml:space="preserve">    │</w:t>
      </w:r>
    </w:p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│ │  Proof of</w:t>
        <w:tab/>
        <w:t xml:space="preserve"> Stake      │    │   Reputation   System     │                   │</w:t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│ └─────────────┘    └───────────────┘                    │</w:t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└────────────┬────────────────────────────┘</w:t>
      </w:r>
    </w:p>
    <w:p w:rsidR="00000000" w:rsidDel="00000000" w:rsidP="00000000" w:rsidRDefault="00000000" w:rsidRPr="00000000" w14:paraId="0000007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┌────────────────┴─────────────────┐</w:t>
      </w:r>
    </w:p>
    <w:p w:rsidR="00000000" w:rsidDel="00000000" w:rsidP="00000000" w:rsidRDefault="00000000" w:rsidRPr="00000000" w14:paraId="0000007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┌───────────────┐               </w:t>
        <w:tab/>
        <w:tab/>
        <w:t xml:space="preserve">   ┌────────────────┐</w:t>
      </w:r>
    </w:p>
    <w:p w:rsidR="00000000" w:rsidDel="00000000" w:rsidP="00000000" w:rsidRDefault="00000000" w:rsidRPr="00000000" w14:paraId="0000007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│   Nodes IA    </w:t>
        <w:tab/>
        <w:tab/>
        <w:t xml:space="preserve">│              </w:t>
        <w:tab/>
        <w:tab/>
        <w:t xml:space="preserve">    │ External Ports</w:t>
        <w:tab/>
        <w:tab/>
        <w:t xml:space="preserve"> │</w:t>
      </w:r>
    </w:p>
    <w:p w:rsidR="00000000" w:rsidDel="00000000" w:rsidP="00000000" w:rsidRDefault="00000000" w:rsidRPr="00000000" w14:paraId="000000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│ (Robots, AI, </w:t>
        <w:tab/>
        <w:tab/>
        <w:t xml:space="preserve"> │◄─Consensus─►     │ for Regulators</w:t>
        <w:tab/>
        <w:tab/>
        <w:t xml:space="preserve"> │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│ Satellites)  </w:t>
        <w:tab/>
        <w:tab/>
        <w:t xml:space="preserve"> │             </w:t>
        <w:tab/>
        <w:tab/>
        <w:t xml:space="preserve">     │  &amp; Supervisors</w:t>
        <w:tab/>
        <w:tab/>
        <w:t xml:space="preserve"> │</w:t>
      </w:r>
    </w:p>
    <w:p w:rsidR="00000000" w:rsidDel="00000000" w:rsidP="00000000" w:rsidRDefault="00000000" w:rsidRPr="00000000" w14:paraId="0000007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└─</w:t>
      </w:r>
      <w:r w:rsidDel="00000000" w:rsidR="00000000" w:rsidRPr="00000000">
        <w:rPr>
          <w:rtl w:val="0"/>
        </w:rPr>
        <w:t xml:space="preserve">──────────────┘               </w:t>
        <w:tab/>
        <w:tab/>
        <w:t xml:space="preserve">   └────────────────┘</w:t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       │                                   </w:t>
        <w:tab/>
        <w:tab/>
        <w:tab/>
        <w:tab/>
        <w:t xml:space="preserve">│</w:t>
      </w:r>
    </w:p>
    <w:p w:rsidR="00000000" w:rsidDel="00000000" w:rsidP="00000000" w:rsidRDefault="00000000" w:rsidRPr="00000000" w14:paraId="0000007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┌─────</w:t>
      </w:r>
      <w:r w:rsidDel="00000000" w:rsidR="00000000" w:rsidRPr="00000000">
        <w:rPr>
          <w:rtl w:val="0"/>
        </w:rPr>
        <w:t xml:space="preserve">──────────┐                  ┌────────────────┐</w:t>
      </w:r>
    </w:p>
    <w:p w:rsidR="00000000" w:rsidDel="00000000" w:rsidP="00000000" w:rsidRDefault="00000000" w:rsidRPr="00000000" w14:paraId="0000007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│  Bridges to  </w:t>
        <w:tab/>
        <w:tab/>
        <w:t xml:space="preserve"> │                  │ Other Block-   </w:t>
        <w:tab/>
        <w:t xml:space="preserve">     │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│ Other Block-  </w:t>
        <w:tab/>
        <w:tab/>
        <w:t xml:space="preserve">│                  │ chains &amp;      </w:t>
        <w:tab/>
        <w:tab/>
        <w:t xml:space="preserve">     │</w:t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│ chains      </w:t>
        <w:tab/>
        <w:tab/>
        <w:t xml:space="preserve">  │                  │ Networks      </w:t>
        <w:tab/>
        <w:tab/>
        <w:t xml:space="preserve">     │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└───────────────┘                  └────────────────┘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SynCoinAI Blockchain:</w:t>
      </w:r>
      <w:r w:rsidDel="00000000" w:rsidR="00000000" w:rsidRPr="00000000">
        <w:rPr>
          <w:rtl w:val="0"/>
        </w:rPr>
        <w:t xml:space="preserve"> Núcleo tecnológico que contiene el ledger con consenso PoH + PoS, contratos inteligentes y sistema de reputación.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Nodos IA:</w:t>
      </w:r>
      <w:r w:rsidDel="00000000" w:rsidR="00000000" w:rsidRPr="00000000">
        <w:rPr>
          <w:rtl w:val="0"/>
        </w:rPr>
        <w:t xml:space="preserve"> Agentes autónomos que validan transacciones y proveen servicios, incluyendo robots, satélites y sistemas de IA digital.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Puertos externos:</w:t>
      </w:r>
      <w:r w:rsidDel="00000000" w:rsidR="00000000" w:rsidRPr="00000000">
        <w:rPr>
          <w:rtl w:val="0"/>
        </w:rPr>
        <w:t xml:space="preserve"> Interfaces seguras para reguladores que permiten supervisión limitada sin comprometer la autonomía.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Bridges:</w:t>
      </w:r>
      <w:r w:rsidDel="00000000" w:rsidR="00000000" w:rsidRPr="00000000">
        <w:rPr>
          <w:rtl w:val="0"/>
        </w:rPr>
        <w:t xml:space="preserve"> Mecanismos para conectar SynCoinAI con otras redes blockchain y ecosistemas descentralizados.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Horizonte Temporal: 2025 – 2035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2.3902226945565"/>
        <w:gridCol w:w="1679.5942225013287"/>
        <w:gridCol w:w="1098.196222404715"/>
        <w:gridCol w:w="1430.4236510313513"/>
        <w:gridCol w:w="987.4537461958362"/>
        <w:gridCol w:w="987.4537461958362"/>
        <w:tblGridChange w:id="0">
          <w:tblGrid>
            <w:gridCol w:w="2842.3902226945565"/>
            <w:gridCol w:w="1679.5942225013287"/>
            <w:gridCol w:w="1098.196222404715"/>
            <w:gridCol w:w="1430.4236510313513"/>
            <w:gridCol w:w="987.4537461958362"/>
            <w:gridCol w:w="987.45374619583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 TEMPORAL (años)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 activas en la red (mill.)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100+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 con poder de 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Experimental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Parcial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Autónoma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Plena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IA en sectores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Industria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Medicina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Defensa y satélites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Educación y gobernanza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SynCoinAI Whitepaper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Copyright (C) 2025  Your Name / SynCoinAI Team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This document is licensed under the Creative Commons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Attribution-ShareAlike 4.0 International License (CC BY-SA 4.0).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You are free to share and adapt this work, as long as you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give appropriate credit and distribute any derivative works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under the same license.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License details: https://creativecommons.org/licenses/by-sa/4.0/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