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yndrix-brand-identity-guidelines"/>
    <w:p>
      <w:pPr>
        <w:pStyle w:val="Heading1"/>
      </w:pPr>
      <w:r>
        <w:t xml:space="preserve">SYNDRIX Brand Identity Guidelines</w:t>
      </w:r>
    </w:p>
    <w:bookmarkStart w:id="24" w:name="brand-overview"/>
    <w:p>
      <w:pPr>
        <w:pStyle w:val="Heading2"/>
      </w:pPr>
      <w:r>
        <w:t xml:space="preserve">Brand Overview</w:t>
      </w:r>
    </w:p>
    <w:bookmarkStart w:id="20" w:name="brand-name"/>
    <w:p>
      <w:pPr>
        <w:pStyle w:val="Heading3"/>
      </w:pPr>
      <w:r>
        <w:t xml:space="preserve">Brand Name</w:t>
      </w:r>
    </w:p>
    <w:p>
      <w:pPr>
        <w:pStyle w:val="FirstParagraph"/>
      </w:pPr>
      <w:r>
        <w:t xml:space="preserve">SYNDRIX</w:t>
      </w:r>
    </w:p>
    <w:bookmarkEnd w:id="20"/>
    <w:bookmarkStart w:id="21" w:name="tagline"/>
    <w:p>
      <w:pPr>
        <w:pStyle w:val="Heading3"/>
      </w:pPr>
      <w:r>
        <w:t xml:space="preserve">Tagline</w:t>
      </w:r>
    </w:p>
    <w:p>
      <w:pPr>
        <w:pStyle w:val="FirstParagraph"/>
      </w:pPr>
      <w:r>
        <w:t xml:space="preserve">Engineered with Intelligence</w:t>
      </w:r>
    </w:p>
    <w:bookmarkEnd w:id="21"/>
    <w:bookmarkStart w:id="22" w:name="industry"/>
    <w:p>
      <w:pPr>
        <w:pStyle w:val="Heading3"/>
      </w:pPr>
      <w:r>
        <w:t xml:space="preserve">Industry</w:t>
      </w:r>
    </w:p>
    <w:p>
      <w:pPr>
        <w:pStyle w:val="FirstParagraph"/>
      </w:pPr>
      <w:r>
        <w:t xml:space="preserve">Custom Electronics Engineering &amp; Hardware Solutions</w:t>
      </w:r>
    </w:p>
    <w:bookmarkEnd w:id="22"/>
    <w:bookmarkStart w:id="23" w:name="positioning"/>
    <w:p>
      <w:pPr>
        <w:pStyle w:val="Heading3"/>
      </w:pPr>
      <w:r>
        <w:t xml:space="preserve">Positioning</w:t>
      </w:r>
    </w:p>
    <w:p>
      <w:pPr>
        <w:pStyle w:val="FirstParagraph"/>
      </w:pPr>
      <w:r>
        <w:t xml:space="preserve">SYNDRIX is an engineering-driven company specializing in custom electronic systems, embedded technologies, product development, PCB design, and intelligent hardware solutions. We bridge the gap between innovative ideas and reliable real-world products through precision engineering and intelligent problem-solving.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4" w:name="brand-foundation"/>
    <w:p>
      <w:pPr>
        <w:pStyle w:val="Heading1"/>
      </w:pPr>
      <w:r>
        <w:t xml:space="preserve">Brand Foundation</w:t>
      </w:r>
    </w:p>
    <w:bookmarkStart w:id="26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To transform ideas into reliable electronic systems through intelligent engineering and precision execution.</w:t>
      </w:r>
    </w:p>
    <w:bookmarkEnd w:id="26"/>
    <w:bookmarkStart w:id="27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To become a trusted engineering partner for innovators, startups, research organizations, and industries seeking advanced electronic solutions.</w:t>
      </w:r>
    </w:p>
    <w:bookmarkEnd w:id="27"/>
    <w:bookmarkStart w:id="33" w:name="core-values"/>
    <w:p>
      <w:pPr>
        <w:pStyle w:val="Heading2"/>
      </w:pPr>
      <w:r>
        <w:t xml:space="preserve">Core Values</w:t>
      </w:r>
    </w:p>
    <w:bookmarkStart w:id="28" w:name="precision"/>
    <w:p>
      <w:pPr>
        <w:pStyle w:val="Heading3"/>
      </w:pPr>
      <w:r>
        <w:t xml:space="preserve">Precision</w:t>
      </w:r>
    </w:p>
    <w:p>
      <w:pPr>
        <w:pStyle w:val="FirstParagraph"/>
      </w:pPr>
      <w:r>
        <w:t xml:space="preserve">Every design decision is based on accuracy, engineering rigor, and technical excellence.</w:t>
      </w:r>
    </w:p>
    <w:bookmarkEnd w:id="28"/>
    <w:bookmarkStart w:id="29" w:name="intelligence"/>
    <w:p>
      <w:pPr>
        <w:pStyle w:val="Heading3"/>
      </w:pPr>
      <w:r>
        <w:t xml:space="preserve">Intelligence</w:t>
      </w:r>
    </w:p>
    <w:p>
      <w:pPr>
        <w:pStyle w:val="FirstParagraph"/>
      </w:pPr>
      <w:r>
        <w:t xml:space="preserve">We solve complex challenges through thoughtful engineering and innovation.</w:t>
      </w:r>
    </w:p>
    <w:bookmarkEnd w:id="29"/>
    <w:bookmarkStart w:id="30" w:name="reliability"/>
    <w:p>
      <w:pPr>
        <w:pStyle w:val="Heading3"/>
      </w:pPr>
      <w:r>
        <w:t xml:space="preserve">Reliability</w:t>
      </w:r>
    </w:p>
    <w:p>
      <w:pPr>
        <w:pStyle w:val="FirstParagraph"/>
      </w:pPr>
      <w:r>
        <w:t xml:space="preserve">Products and systems are designed to perform consistently in real-world environments.</w:t>
      </w:r>
    </w:p>
    <w:bookmarkEnd w:id="30"/>
    <w:bookmarkStart w:id="31" w:name="innovation"/>
    <w:p>
      <w:pPr>
        <w:pStyle w:val="Heading3"/>
      </w:pPr>
      <w:r>
        <w:t xml:space="preserve">Innovation</w:t>
      </w:r>
    </w:p>
    <w:p>
      <w:pPr>
        <w:pStyle w:val="FirstParagraph"/>
      </w:pPr>
      <w:r>
        <w:t xml:space="preserve">We continuously explore new technologies and smarter approaches.</w:t>
      </w:r>
    </w:p>
    <w:bookmarkEnd w:id="31"/>
    <w:bookmarkStart w:id="32" w:name="partnership"/>
    <w:p>
      <w:pPr>
        <w:pStyle w:val="Heading3"/>
      </w:pPr>
      <w:r>
        <w:t xml:space="preserve">Partnership</w:t>
      </w:r>
    </w:p>
    <w:p>
      <w:pPr>
        <w:pStyle w:val="FirstParagraph"/>
      </w:pPr>
      <w:r>
        <w:t xml:space="preserve">We work closely with clients throughout the development journey.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brand-personality"/>
    <w:p>
      <w:pPr>
        <w:pStyle w:val="Heading1"/>
      </w:pPr>
      <w:r>
        <w:t xml:space="preserve">Brand Personality</w:t>
      </w:r>
    </w:p>
    <w:p>
      <w:pPr>
        <w:pStyle w:val="FirstParagraph"/>
      </w:pPr>
      <w:r>
        <w:t xml:space="preserve">SYNDRIX is:</w:t>
      </w:r>
    </w:p>
    <w:p>
      <w:pPr>
        <w:pStyle w:val="Compact"/>
        <w:numPr>
          <w:ilvl w:val="0"/>
          <w:numId w:val="1001"/>
        </w:numPr>
      </w:pPr>
      <w:r>
        <w:t xml:space="preserve">Intelligent</w:t>
      </w:r>
    </w:p>
    <w:p>
      <w:pPr>
        <w:pStyle w:val="Compact"/>
        <w:numPr>
          <w:ilvl w:val="0"/>
          <w:numId w:val="1001"/>
        </w:numPr>
      </w:pPr>
      <w:r>
        <w:t xml:space="preserve">Technical</w:t>
      </w:r>
    </w:p>
    <w:p>
      <w:pPr>
        <w:pStyle w:val="Compact"/>
        <w:numPr>
          <w:ilvl w:val="0"/>
          <w:numId w:val="1001"/>
        </w:numPr>
      </w:pPr>
      <w:r>
        <w:t xml:space="preserve">Reliable</w:t>
      </w:r>
    </w:p>
    <w:p>
      <w:pPr>
        <w:pStyle w:val="Compact"/>
        <w:numPr>
          <w:ilvl w:val="0"/>
          <w:numId w:val="1001"/>
        </w:numPr>
      </w:pPr>
      <w:r>
        <w:t xml:space="preserve">Modern</w:t>
      </w:r>
    </w:p>
    <w:p>
      <w:pPr>
        <w:pStyle w:val="Compact"/>
        <w:numPr>
          <w:ilvl w:val="0"/>
          <w:numId w:val="1001"/>
        </w:numPr>
      </w:pPr>
      <w:r>
        <w:t xml:space="preserve">Precise</w:t>
      </w:r>
    </w:p>
    <w:p>
      <w:pPr>
        <w:pStyle w:val="Compact"/>
        <w:numPr>
          <w:ilvl w:val="0"/>
          <w:numId w:val="1001"/>
        </w:numPr>
      </w:pPr>
      <w:r>
        <w:t xml:space="preserve">Professional</w:t>
      </w:r>
    </w:p>
    <w:p>
      <w:pPr>
        <w:pStyle w:val="FirstParagraph"/>
      </w:pPr>
      <w:r>
        <w:t xml:space="preserve">SYNDRIX is NOT:</w:t>
      </w:r>
    </w:p>
    <w:p>
      <w:pPr>
        <w:pStyle w:val="Compact"/>
        <w:numPr>
          <w:ilvl w:val="0"/>
          <w:numId w:val="1002"/>
        </w:numPr>
      </w:pPr>
      <w:r>
        <w:t xml:space="preserve">Flashy</w:t>
      </w:r>
    </w:p>
    <w:p>
      <w:pPr>
        <w:pStyle w:val="Compact"/>
        <w:numPr>
          <w:ilvl w:val="0"/>
          <w:numId w:val="1002"/>
        </w:numPr>
      </w:pPr>
      <w:r>
        <w:t xml:space="preserve">Trend-driven</w:t>
      </w:r>
    </w:p>
    <w:p>
      <w:pPr>
        <w:pStyle w:val="Compact"/>
        <w:numPr>
          <w:ilvl w:val="0"/>
          <w:numId w:val="1002"/>
        </w:numPr>
      </w:pPr>
      <w:r>
        <w:t xml:space="preserve">Playful</w:t>
      </w:r>
    </w:p>
    <w:p>
      <w:pPr>
        <w:pStyle w:val="Compact"/>
        <w:numPr>
          <w:ilvl w:val="0"/>
          <w:numId w:val="1002"/>
        </w:numPr>
      </w:pPr>
      <w:r>
        <w:t xml:space="preserve">Overly futuristic</w:t>
      </w:r>
    </w:p>
    <w:p>
      <w:pPr>
        <w:pStyle w:val="Compact"/>
        <w:numPr>
          <w:ilvl w:val="0"/>
          <w:numId w:val="1002"/>
        </w:numPr>
      </w:pPr>
      <w:r>
        <w:t xml:space="preserve">Generic</w:t>
      </w:r>
    </w:p>
    <w:p>
      <w:r>
        <w:pict>
          <v:rect style="width:0;height:1.5pt" o:hralign="center" o:hrstd="t" o:hr="t"/>
        </w:pict>
      </w:r>
    </w:p>
    <w:bookmarkEnd w:id="35"/>
    <w:bookmarkStart w:id="36" w:name="brand-promise"/>
    <w:p>
      <w:pPr>
        <w:pStyle w:val="Heading1"/>
      </w:pPr>
      <w:r>
        <w:t xml:space="preserve">Brand Promise</w:t>
      </w:r>
    </w:p>
    <w:p>
      <w:pPr>
        <w:pStyle w:val="FirstParagraph"/>
      </w:pPr>
      <w:r>
        <w:t xml:space="preserve">We engineer custom electronic solutions that combine innovation, reliability, and technical excellence.</w:t>
      </w:r>
    </w:p>
    <w:p>
      <w:r>
        <w:pict>
          <v:rect style="width:0;height:1.5pt" o:hralign="center" o:hrstd="t" o:hr="t"/>
        </w:pict>
      </w:r>
    </w:p>
    <w:bookmarkEnd w:id="36"/>
    <w:bookmarkStart w:id="39" w:name="logo-system"/>
    <w:p>
      <w:pPr>
        <w:pStyle w:val="Heading1"/>
      </w:pPr>
      <w:r>
        <w:t xml:space="preserve">Logo System</w:t>
      </w:r>
    </w:p>
    <w:bookmarkStart w:id="37" w:name="primary-logo"/>
    <w:p>
      <w:pPr>
        <w:pStyle w:val="Heading2"/>
      </w:pPr>
      <w:r>
        <w:t xml:space="preserve">Primary Logo</w:t>
      </w:r>
    </w:p>
    <w:p>
      <w:pPr>
        <w:pStyle w:val="FirstParagraph"/>
      </w:pPr>
      <w:r>
        <w:t xml:space="preserve">Wordmark Only</w:t>
      </w:r>
    </w:p>
    <w:p>
      <w:pPr>
        <w:pStyle w:val="BodyText"/>
      </w:pPr>
      <w:r>
        <w:t xml:space="preserve">S Y N D R I X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3"/>
        </w:numPr>
      </w:pPr>
      <w:r>
        <w:t xml:space="preserve">Wide letter spacing</w:t>
      </w:r>
    </w:p>
    <w:p>
      <w:pPr>
        <w:pStyle w:val="Compact"/>
        <w:numPr>
          <w:ilvl w:val="0"/>
          <w:numId w:val="1003"/>
        </w:numPr>
      </w:pPr>
      <w:r>
        <w:t xml:space="preserve">Geometric construction</w:t>
      </w:r>
    </w:p>
    <w:p>
      <w:pPr>
        <w:pStyle w:val="Compact"/>
        <w:numPr>
          <w:ilvl w:val="0"/>
          <w:numId w:val="1003"/>
        </w:numPr>
      </w:pPr>
      <w:r>
        <w:t xml:space="preserve">Minimal design</w:t>
      </w:r>
    </w:p>
    <w:p>
      <w:pPr>
        <w:pStyle w:val="Compact"/>
        <w:numPr>
          <w:ilvl w:val="0"/>
          <w:numId w:val="1003"/>
        </w:numPr>
      </w:pPr>
      <w:r>
        <w:t xml:space="preserve">Premium engineering aesthetic</w:t>
      </w:r>
    </w:p>
    <w:p>
      <w:pPr>
        <w:pStyle w:val="Compact"/>
        <w:numPr>
          <w:ilvl w:val="0"/>
          <w:numId w:val="1003"/>
        </w:numPr>
      </w:pPr>
      <w:r>
        <w:t xml:space="preserve">Clean visual balance</w:t>
      </w:r>
    </w:p>
    <w:bookmarkEnd w:id="37"/>
    <w:bookmarkStart w:id="38" w:name="logo-philosophy"/>
    <w:p>
      <w:pPr>
        <w:pStyle w:val="Heading2"/>
      </w:pPr>
      <w:r>
        <w:t xml:space="preserve">Logo Philosophy</w:t>
      </w:r>
    </w:p>
    <w:p>
      <w:pPr>
        <w:pStyle w:val="FirstParagraph"/>
      </w:pPr>
      <w:r>
        <w:t xml:space="preserve">The wordmark represents:</w:t>
      </w:r>
    </w:p>
    <w:p>
      <w:pPr>
        <w:pStyle w:val="Compact"/>
        <w:numPr>
          <w:ilvl w:val="0"/>
          <w:numId w:val="1004"/>
        </w:numPr>
      </w:pPr>
      <w:r>
        <w:t xml:space="preserve">Precision engineering</w:t>
      </w:r>
    </w:p>
    <w:p>
      <w:pPr>
        <w:pStyle w:val="Compact"/>
        <w:numPr>
          <w:ilvl w:val="0"/>
          <w:numId w:val="1004"/>
        </w:numPr>
      </w:pPr>
      <w:r>
        <w:t xml:space="preserve">Structured thinking</w:t>
      </w:r>
    </w:p>
    <w:p>
      <w:pPr>
        <w:pStyle w:val="Compact"/>
        <w:numPr>
          <w:ilvl w:val="0"/>
          <w:numId w:val="1004"/>
        </w:numPr>
      </w:pPr>
      <w:r>
        <w:t xml:space="preserve">Signal flow</w:t>
      </w:r>
    </w:p>
    <w:p>
      <w:pPr>
        <w:pStyle w:val="Compact"/>
        <w:numPr>
          <w:ilvl w:val="0"/>
          <w:numId w:val="1004"/>
        </w:numPr>
      </w:pPr>
      <w:r>
        <w:t xml:space="preserve">Technical clarity</w:t>
      </w:r>
    </w:p>
    <w:p>
      <w:pPr>
        <w:pStyle w:val="Compact"/>
        <w:numPr>
          <w:ilvl w:val="0"/>
          <w:numId w:val="1004"/>
        </w:numPr>
      </w:pPr>
      <w:r>
        <w:t xml:space="preserve">Modern innovation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color-palette"/>
    <w:p>
      <w:pPr>
        <w:pStyle w:val="Heading1"/>
      </w:pPr>
      <w:r>
        <w:t xml:space="preserve">Color Palette</w:t>
      </w:r>
    </w:p>
    <w:bookmarkStart w:id="40" w:name="obsidian-black"/>
    <w:p>
      <w:pPr>
        <w:pStyle w:val="Heading2"/>
      </w:pPr>
      <w:r>
        <w:t xml:space="preserve">Obsidian Black</w:t>
      </w:r>
    </w:p>
    <w:p>
      <w:pPr>
        <w:pStyle w:val="FirstParagraph"/>
      </w:pPr>
      <w:r>
        <w:t xml:space="preserve">HEX: #111317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Primary brand color.</w:t>
      </w:r>
    </w:p>
    <w:p>
      <w:pPr>
        <w:pStyle w:val="BodyText"/>
      </w:pPr>
      <w:r>
        <w:t xml:space="preserve">Meaning:</w:t>
      </w:r>
      <w:r>
        <w:t xml:space="preserve"> </w:t>
      </w:r>
      <w:r>
        <w:t xml:space="preserve">Authority, sophistication, precision, engineering confidence.</w:t>
      </w:r>
    </w:p>
    <w:p>
      <w:pPr>
        <w:pStyle w:val="BodyText"/>
      </w:pPr>
      <w:r>
        <w:t xml:space="preserve">Usage:</w:t>
      </w:r>
    </w:p>
    <w:p>
      <w:pPr>
        <w:pStyle w:val="Compact"/>
        <w:numPr>
          <w:ilvl w:val="0"/>
          <w:numId w:val="1005"/>
        </w:numPr>
      </w:pPr>
      <w:r>
        <w:t xml:space="preserve">Logo</w:t>
      </w:r>
    </w:p>
    <w:p>
      <w:pPr>
        <w:pStyle w:val="Compact"/>
        <w:numPr>
          <w:ilvl w:val="0"/>
          <w:numId w:val="1005"/>
        </w:numPr>
      </w:pPr>
      <w:r>
        <w:t xml:space="preserve">Headlines</w:t>
      </w:r>
    </w:p>
    <w:p>
      <w:pPr>
        <w:pStyle w:val="Compact"/>
        <w:numPr>
          <w:ilvl w:val="0"/>
          <w:numId w:val="1005"/>
        </w:numPr>
      </w:pPr>
      <w:r>
        <w:t xml:space="preserve">Documentation</w:t>
      </w:r>
    </w:p>
    <w:p>
      <w:pPr>
        <w:pStyle w:val="Compact"/>
        <w:numPr>
          <w:ilvl w:val="0"/>
          <w:numId w:val="1005"/>
        </w:numPr>
      </w:pPr>
      <w:r>
        <w:t xml:space="preserve">Packaging</w:t>
      </w:r>
    </w:p>
    <w:p>
      <w:r>
        <w:pict>
          <v:rect style="width:0;height:1.5pt" o:hralign="center" o:hrstd="t" o:hr="t"/>
        </w:pict>
      </w:r>
    </w:p>
    <w:bookmarkEnd w:id="40"/>
    <w:bookmarkStart w:id="41" w:name="deep-cobalt"/>
    <w:p>
      <w:pPr>
        <w:pStyle w:val="Heading2"/>
      </w:pPr>
      <w:r>
        <w:t xml:space="preserve">Deep Cobalt</w:t>
      </w:r>
    </w:p>
    <w:p>
      <w:pPr>
        <w:pStyle w:val="FirstParagraph"/>
      </w:pPr>
      <w:r>
        <w:t xml:space="preserve">HEX: #1D4ED8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Primary technology color.</w:t>
      </w:r>
    </w:p>
    <w:p>
      <w:pPr>
        <w:pStyle w:val="BodyText"/>
      </w:pPr>
      <w:r>
        <w:t xml:space="preserve">Meaning:</w:t>
      </w:r>
      <w:r>
        <w:t xml:space="preserve"> </w:t>
      </w:r>
      <w:r>
        <w:t xml:space="preserve">Trust, intelligence, technical expertise, reliability.</w:t>
      </w:r>
    </w:p>
    <w:p>
      <w:pPr>
        <w:pStyle w:val="BodyText"/>
      </w:pPr>
      <w:r>
        <w:t xml:space="preserve">Usage:</w:t>
      </w:r>
    </w:p>
    <w:p>
      <w:pPr>
        <w:pStyle w:val="Compact"/>
        <w:numPr>
          <w:ilvl w:val="0"/>
          <w:numId w:val="1006"/>
        </w:numPr>
      </w:pPr>
      <w:r>
        <w:t xml:space="preserve">UI elements</w:t>
      </w:r>
    </w:p>
    <w:p>
      <w:pPr>
        <w:pStyle w:val="Compact"/>
        <w:numPr>
          <w:ilvl w:val="0"/>
          <w:numId w:val="1006"/>
        </w:numPr>
      </w:pPr>
      <w:r>
        <w:t xml:space="preserve">Key brand accents</w:t>
      </w:r>
    </w:p>
    <w:p>
      <w:pPr>
        <w:pStyle w:val="Compact"/>
        <w:numPr>
          <w:ilvl w:val="0"/>
          <w:numId w:val="1006"/>
        </w:numPr>
      </w:pPr>
      <w:r>
        <w:t xml:space="preserve">Website highlights</w:t>
      </w:r>
    </w:p>
    <w:p>
      <w:r>
        <w:pict>
          <v:rect style="width:0;height:1.5pt" o:hralign="center" o:hrstd="t" o:hr="t"/>
        </w:pict>
      </w:r>
    </w:p>
    <w:bookmarkEnd w:id="41"/>
    <w:bookmarkStart w:id="42" w:name="electric-cyan"/>
    <w:p>
      <w:pPr>
        <w:pStyle w:val="Heading2"/>
      </w:pPr>
      <w:r>
        <w:t xml:space="preserve">Electric Cyan</w:t>
      </w:r>
    </w:p>
    <w:p>
      <w:pPr>
        <w:pStyle w:val="FirstParagraph"/>
      </w:pPr>
      <w:r>
        <w:t xml:space="preserve">HEX: #00D4FF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Innovation accent.</w:t>
      </w:r>
    </w:p>
    <w:p>
      <w:pPr>
        <w:pStyle w:val="BodyText"/>
      </w:pPr>
      <w:r>
        <w:t xml:space="preserve">Meaning:</w:t>
      </w:r>
      <w:r>
        <w:t xml:space="preserve"> </w:t>
      </w:r>
      <w:r>
        <w:t xml:space="preserve">Electronics, digital systems, signal transmission, innovation.</w:t>
      </w:r>
    </w:p>
    <w:p>
      <w:pPr>
        <w:pStyle w:val="BodyText"/>
      </w:pPr>
      <w:r>
        <w:t xml:space="preserve">Usage:</w:t>
      </w:r>
    </w:p>
    <w:p>
      <w:pPr>
        <w:pStyle w:val="Compact"/>
        <w:numPr>
          <w:ilvl w:val="0"/>
          <w:numId w:val="1007"/>
        </w:numPr>
      </w:pPr>
      <w:r>
        <w:t xml:space="preserve">Highlights</w:t>
      </w:r>
    </w:p>
    <w:p>
      <w:pPr>
        <w:pStyle w:val="Compact"/>
        <w:numPr>
          <w:ilvl w:val="0"/>
          <w:numId w:val="1007"/>
        </w:numPr>
      </w:pPr>
      <w:r>
        <w:t xml:space="preserve">Product visuals</w:t>
      </w:r>
    </w:p>
    <w:p>
      <w:pPr>
        <w:pStyle w:val="Compact"/>
        <w:numPr>
          <w:ilvl w:val="0"/>
          <w:numId w:val="1007"/>
        </w:numPr>
      </w:pPr>
      <w:r>
        <w:t xml:space="preserve">Feature emphasis</w:t>
      </w:r>
    </w:p>
    <w:p>
      <w:pPr>
        <w:pStyle w:val="FirstParagraph"/>
      </w:pPr>
      <w:r>
        <w:t xml:space="preserve">Maximum Usage:</w:t>
      </w:r>
      <w:r>
        <w:t xml:space="preserve"> </w:t>
      </w:r>
      <w:r>
        <w:t xml:space="preserve">10% of overall design.</w:t>
      </w:r>
    </w:p>
    <w:p>
      <w:r>
        <w:pict>
          <v:rect style="width:0;height:1.5pt" o:hralign="center" o:hrstd="t" o:hr="t"/>
        </w:pict>
      </w:r>
    </w:p>
    <w:bookmarkEnd w:id="42"/>
    <w:bookmarkStart w:id="43" w:name="titanium-gray"/>
    <w:p>
      <w:pPr>
        <w:pStyle w:val="Heading2"/>
      </w:pPr>
      <w:r>
        <w:t xml:space="preserve">Titanium Gray</w:t>
      </w:r>
    </w:p>
    <w:p>
      <w:pPr>
        <w:pStyle w:val="FirstParagraph"/>
      </w:pPr>
      <w:r>
        <w:t xml:space="preserve">HEX: #8E99A8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Supporting neutral.</w:t>
      </w:r>
    </w:p>
    <w:p>
      <w:pPr>
        <w:pStyle w:val="BodyText"/>
      </w:pPr>
      <w:r>
        <w:t xml:space="preserve">Meaning:</w:t>
      </w:r>
      <w:r>
        <w:t xml:space="preserve"> </w:t>
      </w:r>
      <w:r>
        <w:t xml:space="preserve">Industrial engineering, metal components, balance.</w:t>
      </w:r>
    </w:p>
    <w:p>
      <w:pPr>
        <w:pStyle w:val="BodyText"/>
      </w:pPr>
      <w:r>
        <w:t xml:space="preserve">Usage:</w:t>
      </w:r>
    </w:p>
    <w:p>
      <w:pPr>
        <w:pStyle w:val="Compact"/>
        <w:numPr>
          <w:ilvl w:val="0"/>
          <w:numId w:val="1008"/>
        </w:numPr>
      </w:pPr>
      <w:r>
        <w:t xml:space="preserve">Secondary text</w:t>
      </w:r>
    </w:p>
    <w:p>
      <w:pPr>
        <w:pStyle w:val="Compact"/>
        <w:numPr>
          <w:ilvl w:val="0"/>
          <w:numId w:val="1008"/>
        </w:numPr>
      </w:pPr>
      <w:r>
        <w:t xml:space="preserve">Dividers</w:t>
      </w:r>
    </w:p>
    <w:p>
      <w:pPr>
        <w:pStyle w:val="Compact"/>
        <w:numPr>
          <w:ilvl w:val="0"/>
          <w:numId w:val="1008"/>
        </w:numPr>
      </w:pPr>
      <w:r>
        <w:t xml:space="preserve">Technical graphics</w:t>
      </w:r>
    </w:p>
    <w:p>
      <w:r>
        <w:pict>
          <v:rect style="width:0;height:1.5pt" o:hralign="center" o:hrstd="t" o:hr="t"/>
        </w:pict>
      </w:r>
    </w:p>
    <w:bookmarkEnd w:id="43"/>
    <w:bookmarkStart w:id="44" w:name="arctic-white"/>
    <w:p>
      <w:pPr>
        <w:pStyle w:val="Heading2"/>
      </w:pPr>
      <w:r>
        <w:t xml:space="preserve">Arctic White</w:t>
      </w:r>
    </w:p>
    <w:p>
      <w:pPr>
        <w:pStyle w:val="FirstParagraph"/>
      </w:pPr>
      <w:r>
        <w:t xml:space="preserve">HEX: #F8FAFC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Background color.</w:t>
      </w:r>
    </w:p>
    <w:p>
      <w:pPr>
        <w:pStyle w:val="BodyText"/>
      </w:pPr>
      <w:r>
        <w:t xml:space="preserve">Meaning:</w:t>
      </w:r>
      <w:r>
        <w:t xml:space="preserve"> </w:t>
      </w:r>
      <w:r>
        <w:t xml:space="preserve">Clarity, openness, precision.</w:t>
      </w:r>
    </w:p>
    <w:p>
      <w:pPr>
        <w:pStyle w:val="BodyText"/>
      </w:pPr>
      <w:r>
        <w:t xml:space="preserve">Usage:</w:t>
      </w:r>
    </w:p>
    <w:p>
      <w:pPr>
        <w:pStyle w:val="Compact"/>
        <w:numPr>
          <w:ilvl w:val="0"/>
          <w:numId w:val="1009"/>
        </w:numPr>
      </w:pPr>
      <w:r>
        <w:t xml:space="preserve">Documents</w:t>
      </w:r>
    </w:p>
    <w:p>
      <w:pPr>
        <w:pStyle w:val="Compact"/>
        <w:numPr>
          <w:ilvl w:val="0"/>
          <w:numId w:val="1009"/>
        </w:numPr>
      </w:pPr>
      <w:r>
        <w:t xml:space="preserve">Presentations</w:t>
      </w:r>
    </w:p>
    <w:p>
      <w:pPr>
        <w:pStyle w:val="Compact"/>
        <w:numPr>
          <w:ilvl w:val="0"/>
          <w:numId w:val="1009"/>
        </w:numPr>
      </w:pPr>
      <w:r>
        <w:t xml:space="preserve">Website backgrounds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typography"/>
    <w:p>
      <w:pPr>
        <w:pStyle w:val="Heading1"/>
      </w:pPr>
      <w:r>
        <w:t xml:space="preserve">Typography</w:t>
      </w:r>
    </w:p>
    <w:bookmarkStart w:id="46" w:name="primary-typeface"/>
    <w:p>
      <w:pPr>
        <w:pStyle w:val="Heading2"/>
      </w:pPr>
      <w:r>
        <w:t xml:space="preserve">Primary Typeface</w:t>
      </w:r>
    </w:p>
    <w:p>
      <w:pPr>
        <w:pStyle w:val="FirstParagraph"/>
      </w:pPr>
      <w:r>
        <w:t xml:space="preserve">Space Grotesk</w:t>
      </w:r>
    </w:p>
    <w:p>
      <w:pPr>
        <w:pStyle w:val="BodyText"/>
      </w:pPr>
      <w:r>
        <w:t xml:space="preserve">Applications:</w:t>
      </w:r>
    </w:p>
    <w:p>
      <w:pPr>
        <w:pStyle w:val="Compact"/>
        <w:numPr>
          <w:ilvl w:val="0"/>
          <w:numId w:val="1010"/>
        </w:numPr>
      </w:pPr>
      <w:r>
        <w:t xml:space="preserve">Headlines</w:t>
      </w:r>
    </w:p>
    <w:p>
      <w:pPr>
        <w:pStyle w:val="Compact"/>
        <w:numPr>
          <w:ilvl w:val="0"/>
          <w:numId w:val="1010"/>
        </w:numPr>
      </w:pPr>
      <w:r>
        <w:t xml:space="preserve">Marketing</w:t>
      </w:r>
    </w:p>
    <w:p>
      <w:pPr>
        <w:pStyle w:val="Compact"/>
        <w:numPr>
          <w:ilvl w:val="0"/>
          <w:numId w:val="1010"/>
        </w:numPr>
      </w:pPr>
      <w:r>
        <w:t xml:space="preserve">Website</w:t>
      </w:r>
    </w:p>
    <w:p>
      <w:pPr>
        <w:pStyle w:val="FirstParagraph"/>
      </w:pPr>
      <w:r>
        <w:t xml:space="preserve">Reason:</w:t>
      </w:r>
      <w:r>
        <w:t xml:space="preserve"> </w:t>
      </w:r>
      <w:r>
        <w:t xml:space="preserve">Modern, geometric, technical.</w:t>
      </w:r>
    </w:p>
    <w:bookmarkEnd w:id="46"/>
    <w:bookmarkStart w:id="47" w:name="secondary-typeface"/>
    <w:p>
      <w:pPr>
        <w:pStyle w:val="Heading2"/>
      </w:pPr>
      <w:r>
        <w:t xml:space="preserve">Secondary Typeface</w:t>
      </w:r>
    </w:p>
    <w:p>
      <w:pPr>
        <w:pStyle w:val="FirstParagraph"/>
      </w:pPr>
      <w:r>
        <w:t xml:space="preserve">Inter</w:t>
      </w:r>
    </w:p>
    <w:p>
      <w:pPr>
        <w:pStyle w:val="BodyText"/>
      </w:pPr>
      <w:r>
        <w:t xml:space="preserve">Applications:</w:t>
      </w:r>
    </w:p>
    <w:p>
      <w:pPr>
        <w:pStyle w:val="Compact"/>
        <w:numPr>
          <w:ilvl w:val="0"/>
          <w:numId w:val="1011"/>
        </w:numPr>
      </w:pPr>
      <w:r>
        <w:t xml:space="preserve">Documentation</w:t>
      </w:r>
    </w:p>
    <w:p>
      <w:pPr>
        <w:pStyle w:val="Compact"/>
        <w:numPr>
          <w:ilvl w:val="0"/>
          <w:numId w:val="1011"/>
        </w:numPr>
      </w:pPr>
      <w:r>
        <w:t xml:space="preserve">Reports</w:t>
      </w:r>
    </w:p>
    <w:p>
      <w:pPr>
        <w:pStyle w:val="Compact"/>
        <w:numPr>
          <w:ilvl w:val="0"/>
          <w:numId w:val="1011"/>
        </w:numPr>
      </w:pPr>
      <w:r>
        <w:t xml:space="preserve">UI text</w:t>
      </w:r>
    </w:p>
    <w:p>
      <w:pPr>
        <w:pStyle w:val="Compact"/>
        <w:numPr>
          <w:ilvl w:val="0"/>
          <w:numId w:val="1011"/>
        </w:numPr>
      </w:pPr>
      <w:r>
        <w:t xml:space="preserve">Presentations</w:t>
      </w:r>
    </w:p>
    <w:p>
      <w:pPr>
        <w:pStyle w:val="FirstParagraph"/>
      </w:pPr>
      <w:r>
        <w:t xml:space="preserve">Reason:</w:t>
      </w:r>
      <w:r>
        <w:t xml:space="preserve"> </w:t>
      </w:r>
      <w:r>
        <w:t xml:space="preserve">Highly readable and professional.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visual-language"/>
    <w:p>
      <w:pPr>
        <w:pStyle w:val="Heading1"/>
      </w:pPr>
      <w:r>
        <w:t xml:space="preserve">Visual Language</w:t>
      </w:r>
    </w:p>
    <w:p>
      <w:pPr>
        <w:pStyle w:val="FirstParagraph"/>
      </w:pPr>
      <w:r>
        <w:t xml:space="preserve">Primary Visual Themes:</w:t>
      </w:r>
    </w:p>
    <w:p>
      <w:pPr>
        <w:pStyle w:val="Compact"/>
        <w:numPr>
          <w:ilvl w:val="0"/>
          <w:numId w:val="1012"/>
        </w:numPr>
      </w:pPr>
      <w:r>
        <w:t xml:space="preserve">PCB traces</w:t>
      </w:r>
    </w:p>
    <w:p>
      <w:pPr>
        <w:pStyle w:val="Compact"/>
        <w:numPr>
          <w:ilvl w:val="0"/>
          <w:numId w:val="1012"/>
        </w:numPr>
      </w:pPr>
      <w:r>
        <w:t xml:space="preserve">Circuit pathways</w:t>
      </w:r>
    </w:p>
    <w:p>
      <w:pPr>
        <w:pStyle w:val="Compact"/>
        <w:numPr>
          <w:ilvl w:val="0"/>
          <w:numId w:val="1012"/>
        </w:numPr>
      </w:pPr>
      <w:r>
        <w:t xml:space="preserve">Technical grids</w:t>
      </w:r>
    </w:p>
    <w:p>
      <w:pPr>
        <w:pStyle w:val="Compact"/>
        <w:numPr>
          <w:ilvl w:val="0"/>
          <w:numId w:val="1012"/>
        </w:numPr>
      </w:pPr>
      <w:r>
        <w:t xml:space="preserve">Embedded systems</w:t>
      </w:r>
    </w:p>
    <w:p>
      <w:pPr>
        <w:pStyle w:val="Compact"/>
        <w:numPr>
          <w:ilvl w:val="0"/>
          <w:numId w:val="1012"/>
        </w:numPr>
      </w:pPr>
      <w:r>
        <w:t xml:space="preserve">Product development</w:t>
      </w:r>
    </w:p>
    <w:p>
      <w:pPr>
        <w:pStyle w:val="Compact"/>
        <w:numPr>
          <w:ilvl w:val="0"/>
          <w:numId w:val="1012"/>
        </w:numPr>
      </w:pPr>
      <w:r>
        <w:t xml:space="preserve">Signal routing</w:t>
      </w:r>
    </w:p>
    <w:p>
      <w:pPr>
        <w:pStyle w:val="Compact"/>
        <w:numPr>
          <w:ilvl w:val="0"/>
          <w:numId w:val="1012"/>
        </w:numPr>
      </w:pPr>
      <w:r>
        <w:t xml:space="preserve">Engineering diagrams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3"/>
        </w:numPr>
      </w:pPr>
      <w:r>
        <w:t xml:space="preserve">Generic AI brains</w:t>
      </w:r>
    </w:p>
    <w:p>
      <w:pPr>
        <w:pStyle w:val="Compact"/>
        <w:numPr>
          <w:ilvl w:val="0"/>
          <w:numId w:val="1013"/>
        </w:numPr>
      </w:pPr>
      <w:r>
        <w:t xml:space="preserve">Robots</w:t>
      </w:r>
    </w:p>
    <w:p>
      <w:pPr>
        <w:pStyle w:val="Compact"/>
        <w:numPr>
          <w:ilvl w:val="0"/>
          <w:numId w:val="1013"/>
        </w:numPr>
      </w:pPr>
      <w:r>
        <w:t xml:space="preserve">Neon cyberpunk themes</w:t>
      </w:r>
    </w:p>
    <w:p>
      <w:pPr>
        <w:pStyle w:val="Compact"/>
        <w:numPr>
          <w:ilvl w:val="0"/>
          <w:numId w:val="1013"/>
        </w:numPr>
      </w:pPr>
      <w:r>
        <w:t xml:space="preserve">Overly abstract graphics</w:t>
      </w:r>
    </w:p>
    <w:p>
      <w:r>
        <w:pict>
          <v:rect style="width:0;height:1.5pt" o:hralign="center" o:hrstd="t" o:hr="t"/>
        </w:pict>
      </w:r>
    </w:p>
    <w:bookmarkEnd w:id="49"/>
    <w:bookmarkStart w:id="50" w:name="graphic-motif"/>
    <w:p>
      <w:pPr>
        <w:pStyle w:val="Heading1"/>
      </w:pPr>
      <w:r>
        <w:t xml:space="preserve">Graphic Motif</w:t>
      </w:r>
    </w:p>
    <w:p>
      <w:pPr>
        <w:pStyle w:val="FirstParagraph"/>
      </w:pPr>
      <w:r>
        <w:t xml:space="preserve">The SYNDRIX Signal Path</w:t>
      </w:r>
    </w:p>
    <w:p>
      <w:pPr>
        <w:pStyle w:val="BodyText"/>
      </w:pPr>
      <w:r>
        <w:t xml:space="preserve">A recurring circuit-inspired line pattern representing:</w:t>
      </w:r>
    </w:p>
    <w:p>
      <w:pPr>
        <w:pStyle w:val="Compact"/>
        <w:numPr>
          <w:ilvl w:val="0"/>
          <w:numId w:val="1014"/>
        </w:numPr>
      </w:pPr>
      <w:r>
        <w:t xml:space="preserve">Data flow</w:t>
      </w:r>
    </w:p>
    <w:p>
      <w:pPr>
        <w:pStyle w:val="Compact"/>
        <w:numPr>
          <w:ilvl w:val="0"/>
          <w:numId w:val="1014"/>
        </w:numPr>
      </w:pPr>
      <w:r>
        <w:t xml:space="preserve">Problem solving</w:t>
      </w:r>
    </w:p>
    <w:p>
      <w:pPr>
        <w:pStyle w:val="Compact"/>
        <w:numPr>
          <w:ilvl w:val="0"/>
          <w:numId w:val="1014"/>
        </w:numPr>
      </w:pPr>
      <w:r>
        <w:t xml:space="preserve">Engineering pathways</w:t>
      </w:r>
    </w:p>
    <w:p>
      <w:pPr>
        <w:pStyle w:val="Compact"/>
        <w:numPr>
          <w:ilvl w:val="0"/>
          <w:numId w:val="1014"/>
        </w:numPr>
      </w:pPr>
      <w:r>
        <w:t xml:space="preserve">System connectivity</w:t>
      </w:r>
    </w:p>
    <w:p>
      <w:pPr>
        <w:pStyle w:val="FirstParagraph"/>
      </w:pPr>
      <w:r>
        <w:t xml:space="preserve">This motif should appear consistently across all brand materials.</w:t>
      </w:r>
    </w:p>
    <w:p>
      <w:r>
        <w:pict>
          <v:rect style="width:0;height:1.5pt" o:hralign="center" o:hrstd="t" o:hr="t"/>
        </w:pict>
      </w:r>
    </w:p>
    <w:bookmarkEnd w:id="50"/>
    <w:bookmarkStart w:id="51" w:name="photography-style"/>
    <w:p>
      <w:pPr>
        <w:pStyle w:val="Heading1"/>
      </w:pPr>
      <w:r>
        <w:t xml:space="preserve">Photography Style</w:t>
      </w:r>
    </w:p>
    <w:p>
      <w:pPr>
        <w:pStyle w:val="FirstParagraph"/>
      </w:pPr>
      <w:r>
        <w:t xml:space="preserve">Preferred Content:</w:t>
      </w:r>
    </w:p>
    <w:p>
      <w:pPr>
        <w:pStyle w:val="Compact"/>
        <w:numPr>
          <w:ilvl w:val="0"/>
          <w:numId w:val="1015"/>
        </w:numPr>
      </w:pPr>
      <w:r>
        <w:t xml:space="preserve">PCB close-ups</w:t>
      </w:r>
    </w:p>
    <w:p>
      <w:pPr>
        <w:pStyle w:val="Compact"/>
        <w:numPr>
          <w:ilvl w:val="0"/>
          <w:numId w:val="1015"/>
        </w:numPr>
      </w:pPr>
      <w:r>
        <w:t xml:space="preserve">Embedded hardware</w:t>
      </w:r>
    </w:p>
    <w:p>
      <w:pPr>
        <w:pStyle w:val="Compact"/>
        <w:numPr>
          <w:ilvl w:val="0"/>
          <w:numId w:val="1015"/>
        </w:numPr>
      </w:pPr>
      <w:r>
        <w:t xml:space="preserve">Electronic prototypes</w:t>
      </w:r>
    </w:p>
    <w:p>
      <w:pPr>
        <w:pStyle w:val="Compact"/>
        <w:numPr>
          <w:ilvl w:val="0"/>
          <w:numId w:val="1015"/>
        </w:numPr>
      </w:pPr>
      <w:r>
        <w:t xml:space="preserve">Testing environments</w:t>
      </w:r>
    </w:p>
    <w:p>
      <w:pPr>
        <w:pStyle w:val="Compact"/>
        <w:numPr>
          <w:ilvl w:val="0"/>
          <w:numId w:val="1015"/>
        </w:numPr>
      </w:pPr>
      <w:r>
        <w:t xml:space="preserve">Oscilloscopes</w:t>
      </w:r>
    </w:p>
    <w:p>
      <w:pPr>
        <w:pStyle w:val="Compact"/>
        <w:numPr>
          <w:ilvl w:val="0"/>
          <w:numId w:val="1015"/>
        </w:numPr>
      </w:pPr>
      <w:r>
        <w:t xml:space="preserve">Engineers at work</w:t>
      </w:r>
    </w:p>
    <w:p>
      <w:pPr>
        <w:pStyle w:val="Compact"/>
        <w:numPr>
          <w:ilvl w:val="0"/>
          <w:numId w:val="1015"/>
        </w:numPr>
      </w:pPr>
      <w:r>
        <w:t xml:space="preserve">Product development</w:t>
      </w:r>
    </w:p>
    <w:p>
      <w:pPr>
        <w:pStyle w:val="FirstParagraph"/>
      </w:pPr>
      <w:r>
        <w:t xml:space="preserve">Visual Characteristics:</w:t>
      </w:r>
    </w:p>
    <w:p>
      <w:pPr>
        <w:pStyle w:val="Compact"/>
        <w:numPr>
          <w:ilvl w:val="0"/>
          <w:numId w:val="1016"/>
        </w:numPr>
      </w:pPr>
      <w:r>
        <w:t xml:space="preserve">High contrast</w:t>
      </w:r>
    </w:p>
    <w:p>
      <w:pPr>
        <w:pStyle w:val="Compact"/>
        <w:numPr>
          <w:ilvl w:val="0"/>
          <w:numId w:val="1016"/>
        </w:numPr>
      </w:pPr>
      <w:r>
        <w:t xml:space="preserve">Sharp focus</w:t>
      </w:r>
    </w:p>
    <w:p>
      <w:pPr>
        <w:pStyle w:val="Compact"/>
        <w:numPr>
          <w:ilvl w:val="0"/>
          <w:numId w:val="1016"/>
        </w:numPr>
      </w:pPr>
      <w:r>
        <w:t xml:space="preserve">Clean composition</w:t>
      </w:r>
    </w:p>
    <w:p>
      <w:pPr>
        <w:pStyle w:val="Compact"/>
        <w:numPr>
          <w:ilvl w:val="0"/>
          <w:numId w:val="1016"/>
        </w:numPr>
      </w:pPr>
      <w:r>
        <w:t xml:space="preserve">Professional lighting</w:t>
      </w:r>
    </w:p>
    <w:p>
      <w:r>
        <w:pict>
          <v:rect style="width:0;height:1.5pt" o:hralign="center" o:hrstd="t" o:hr="t"/>
        </w:pict>
      </w:r>
    </w:p>
    <w:bookmarkEnd w:id="51"/>
    <w:bookmarkStart w:id="52" w:name="brand-voice"/>
    <w:p>
      <w:pPr>
        <w:pStyle w:val="Heading1"/>
      </w:pPr>
      <w:r>
        <w:t xml:space="preserve">Brand Voice</w:t>
      </w:r>
    </w:p>
    <w:p>
      <w:pPr>
        <w:pStyle w:val="FirstParagraph"/>
      </w:pPr>
      <w:r>
        <w:t xml:space="preserve">Tone:</w:t>
      </w:r>
    </w:p>
    <w:p>
      <w:pPr>
        <w:pStyle w:val="Compact"/>
        <w:numPr>
          <w:ilvl w:val="0"/>
          <w:numId w:val="1017"/>
        </w:numPr>
      </w:pPr>
      <w:r>
        <w:t xml:space="preserve">Clear</w:t>
      </w:r>
    </w:p>
    <w:p>
      <w:pPr>
        <w:pStyle w:val="Compact"/>
        <w:numPr>
          <w:ilvl w:val="0"/>
          <w:numId w:val="1017"/>
        </w:numPr>
      </w:pPr>
      <w:r>
        <w:t xml:space="preserve">Intelligent</w:t>
      </w:r>
    </w:p>
    <w:p>
      <w:pPr>
        <w:pStyle w:val="Compact"/>
        <w:numPr>
          <w:ilvl w:val="0"/>
          <w:numId w:val="1017"/>
        </w:numPr>
      </w:pPr>
      <w:r>
        <w:t xml:space="preserve">Technical</w:t>
      </w:r>
    </w:p>
    <w:p>
      <w:pPr>
        <w:pStyle w:val="Compact"/>
        <w:numPr>
          <w:ilvl w:val="0"/>
          <w:numId w:val="1017"/>
        </w:numPr>
      </w:pPr>
      <w:r>
        <w:t xml:space="preserve">Direct</w:t>
      </w:r>
    </w:p>
    <w:p>
      <w:pPr>
        <w:pStyle w:val="FirstParagraph"/>
      </w:pPr>
      <w:r>
        <w:t xml:space="preserve">Example Messaging:</w:t>
      </w:r>
    </w:p>
    <w:p>
      <w:pPr>
        <w:pStyle w:val="BodyText"/>
      </w:pPr>
      <w:r>
        <w:t xml:space="preserve">“We engineer intelligent electronic systems tailored to real-world requirements.”</w:t>
      </w:r>
    </w:p>
    <w:p>
      <w:pPr>
        <w:pStyle w:val="BodyText"/>
      </w:pPr>
      <w:r>
        <w:t xml:space="preserve">“From concept to deployment, every solution is designed with precision and purpose.”</w:t>
      </w:r>
    </w:p>
    <w:p>
      <w:r>
        <w:pict>
          <v:rect style="width:0;height:1.5pt" o:hralign="center" o:hrstd="t" o:hr="t"/>
        </w:pict>
      </w:r>
    </w:p>
    <w:bookmarkEnd w:id="52"/>
    <w:bookmarkStart w:id="57" w:name="service-architecture"/>
    <w:p>
      <w:pPr>
        <w:pStyle w:val="Heading1"/>
      </w:pPr>
      <w:r>
        <w:t xml:space="preserve">Service Architecture</w:t>
      </w:r>
    </w:p>
    <w:bookmarkStart w:id="53" w:name="design"/>
    <w:p>
      <w:pPr>
        <w:pStyle w:val="Heading2"/>
      </w:pPr>
      <w:r>
        <w:t xml:space="preserve">Design</w:t>
      </w:r>
    </w:p>
    <w:p>
      <w:pPr>
        <w:pStyle w:val="Compact"/>
        <w:numPr>
          <w:ilvl w:val="0"/>
          <w:numId w:val="1018"/>
        </w:numPr>
      </w:pPr>
      <w:r>
        <w:t xml:space="preserve">Circuit Design</w:t>
      </w:r>
    </w:p>
    <w:p>
      <w:pPr>
        <w:pStyle w:val="Compact"/>
        <w:numPr>
          <w:ilvl w:val="0"/>
          <w:numId w:val="1018"/>
        </w:numPr>
      </w:pPr>
      <w:r>
        <w:t xml:space="preserve">PCB Design</w:t>
      </w:r>
    </w:p>
    <w:p>
      <w:pPr>
        <w:pStyle w:val="Compact"/>
        <w:numPr>
          <w:ilvl w:val="0"/>
          <w:numId w:val="1018"/>
        </w:numPr>
      </w:pPr>
      <w:r>
        <w:t xml:space="preserve">Hardware Architecture</w:t>
      </w:r>
    </w:p>
    <w:bookmarkEnd w:id="53"/>
    <w:bookmarkStart w:id="54" w:name="development"/>
    <w:p>
      <w:pPr>
        <w:pStyle w:val="Heading2"/>
      </w:pPr>
      <w:r>
        <w:t xml:space="preserve">Development</w:t>
      </w:r>
    </w:p>
    <w:p>
      <w:pPr>
        <w:pStyle w:val="Compact"/>
        <w:numPr>
          <w:ilvl w:val="0"/>
          <w:numId w:val="1019"/>
        </w:numPr>
      </w:pPr>
      <w:r>
        <w:t xml:space="preserve">Embedded Systems</w:t>
      </w:r>
    </w:p>
    <w:p>
      <w:pPr>
        <w:pStyle w:val="Compact"/>
        <w:numPr>
          <w:ilvl w:val="0"/>
          <w:numId w:val="1019"/>
        </w:numPr>
      </w:pPr>
      <w:r>
        <w:t xml:space="preserve">Firmware Development</w:t>
      </w:r>
    </w:p>
    <w:p>
      <w:pPr>
        <w:pStyle w:val="Compact"/>
        <w:numPr>
          <w:ilvl w:val="0"/>
          <w:numId w:val="1019"/>
        </w:numPr>
      </w:pPr>
      <w:r>
        <w:t xml:space="preserve">IoT Solutions</w:t>
      </w:r>
    </w:p>
    <w:bookmarkEnd w:id="54"/>
    <w:bookmarkStart w:id="55" w:name="validation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20"/>
        </w:numPr>
      </w:pPr>
      <w:r>
        <w:t xml:space="preserve">Testing</w:t>
      </w:r>
    </w:p>
    <w:p>
      <w:pPr>
        <w:pStyle w:val="Compact"/>
        <w:numPr>
          <w:ilvl w:val="0"/>
          <w:numId w:val="1020"/>
        </w:numPr>
      </w:pPr>
      <w:r>
        <w:t xml:space="preserve">Debugging</w:t>
      </w:r>
    </w:p>
    <w:p>
      <w:pPr>
        <w:pStyle w:val="Compact"/>
        <w:numPr>
          <w:ilvl w:val="0"/>
          <w:numId w:val="1020"/>
        </w:numPr>
      </w:pPr>
      <w:r>
        <w:t xml:space="preserve">Performance Verification</w:t>
      </w:r>
    </w:p>
    <w:bookmarkEnd w:id="55"/>
    <w:bookmarkStart w:id="56" w:name="production"/>
    <w:p>
      <w:pPr>
        <w:pStyle w:val="Heading2"/>
      </w:pPr>
      <w:r>
        <w:t xml:space="preserve">Production</w:t>
      </w:r>
    </w:p>
    <w:p>
      <w:pPr>
        <w:pStyle w:val="Compact"/>
        <w:numPr>
          <w:ilvl w:val="0"/>
          <w:numId w:val="1021"/>
        </w:numPr>
      </w:pPr>
      <w:r>
        <w:t xml:space="preserve">Prototyping</w:t>
      </w:r>
    </w:p>
    <w:p>
      <w:pPr>
        <w:pStyle w:val="Compact"/>
        <w:numPr>
          <w:ilvl w:val="0"/>
          <w:numId w:val="1021"/>
        </w:numPr>
      </w:pPr>
      <w:r>
        <w:t xml:space="preserve">Manufacturing Support</w:t>
      </w:r>
    </w:p>
    <w:p>
      <w:pPr>
        <w:pStyle w:val="Compact"/>
        <w:numPr>
          <w:ilvl w:val="0"/>
          <w:numId w:val="1021"/>
        </w:numPr>
      </w:pPr>
      <w:r>
        <w:t xml:space="preserve">Product Optimization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losing-statement"/>
    <w:p>
      <w:pPr>
        <w:pStyle w:val="Heading1"/>
      </w:pPr>
      <w:r>
        <w:t xml:space="preserve">Closing Statement</w:t>
      </w:r>
    </w:p>
    <w:p>
      <w:pPr>
        <w:pStyle w:val="FirstParagraph"/>
      </w:pPr>
      <w:r>
        <w:t xml:space="preserve">SYNDRIX stands at the intersection of intelligence and engineering, transforming concepts into dependable electronic solutions through precision, innovation, and technical excellence.</w:t>
      </w:r>
    </w:p>
    <w:p>
      <w:pPr>
        <w:pStyle w:val="BodyText"/>
      </w:pPr>
      <w:r>
        <w:t xml:space="preserve">Engineered with Intelligence.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2026-06-04T13:21:23Z</dcterms:created>
  <dcterms:modified xsi:type="dcterms:W3CDTF">2026-06-04T13:21:23Z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