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examples-patterns"/>
    <w:p>
      <w:pPr>
        <w:pStyle w:val="Heading1"/>
      </w:pPr>
      <w:r>
        <w:t xml:space="preserve">10. Examples &amp; Patterns</w:t>
      </w:r>
    </w:p>
    <w:p>
      <w:pPr>
        <w:pStyle w:val="FirstParagraph"/>
      </w:pPr>
      <w:r>
        <w:t xml:space="preserve">Concrete examples illustrate language features and common</w:t>
      </w:r>
      <w:r>
        <w:t xml:space="preserve"> </w:t>
      </w:r>
      <w:r>
        <w:t xml:space="preserve">design patterns. This section presents several SynQ</w:t>
      </w:r>
      <w:r>
        <w:t xml:space="preserve"> </w:t>
      </w:r>
      <w:r>
        <w:t xml:space="preserve">contracts in increasing complexity. Each example is</w:t>
      </w:r>
      <w:r>
        <w:t xml:space="preserve"> </w:t>
      </w:r>
      <w:r>
        <w:t xml:space="preserve">accompanied by discussion of its security properties and</w:t>
      </w:r>
      <w:r>
        <w:t xml:space="preserve"> </w:t>
      </w:r>
      <w:r>
        <w:t xml:space="preserve">gas implications.</w:t>
      </w:r>
    </w:p>
    <w:bookmarkStart w:id="20" w:name="hello-quantum"/>
    <w:p>
      <w:pPr>
        <w:pStyle w:val="Heading2"/>
      </w:pPr>
      <w:r>
        <w:t xml:space="preserve">10.1 Hello, Quantum</w:t>
      </w:r>
    </w:p>
    <w:p>
      <w:pPr>
        <w:pStyle w:val="FirstParagraph"/>
      </w:pPr>
      <w:r>
        <w:t xml:space="preserve">The simplest SynQ contract emits a greeting. It shows how</w:t>
      </w:r>
      <w:r>
        <w:t xml:space="preserve"> </w:t>
      </w:r>
      <w:r>
        <w:t xml:space="preserve">to define a contract, store state and emit events:</w:t>
      </w:r>
    </w:p>
    <w:p>
      <w:pPr>
        <w:pStyle w:val="SourceCode"/>
      </w:pPr>
      <w:r>
        <w:rPr>
          <w:rStyle w:val="VerbatimChar"/>
        </w:rPr>
        <w:t xml:space="preserve">contract HelloQuantum {</w:t>
      </w:r>
      <w:r>
        <w:br/>
      </w:r>
      <w:r>
        <w:rPr>
          <w:rStyle w:val="VerbatimChar"/>
        </w:rPr>
        <w:t xml:space="preserve">    greeting: Bytes;</w:t>
      </w:r>
      <w:r>
        <w:br/>
      </w:r>
      <w:r>
        <w:br/>
      </w:r>
      <w:r>
        <w:rPr>
          <w:rStyle w:val="VerbatimChar"/>
        </w:rPr>
        <w:t xml:space="preserve">    constructor(initial: Bytes) {</w:t>
      </w:r>
      <w:r>
        <w:br/>
      </w:r>
      <w:r>
        <w:rPr>
          <w:rStyle w:val="VerbatimChar"/>
        </w:rPr>
        <w:t xml:space="preserve">        greeting = initial;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@public</w:t>
      </w:r>
      <w:r>
        <w:br/>
      </w:r>
      <w:r>
        <w:rPr>
          <w:rStyle w:val="VerbatimChar"/>
        </w:rPr>
        <w:t xml:space="preserve">    function get_greeting() -&gt; Bytes {</w:t>
      </w:r>
      <w:r>
        <w:br/>
      </w:r>
      <w:r>
        <w:rPr>
          <w:rStyle w:val="VerbatimChar"/>
        </w:rPr>
        <w:t xml:space="preserve">        return greeting;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@public</w:t>
      </w:r>
      <w:r>
        <w:br/>
      </w:r>
      <w:r>
        <w:rPr>
          <w:rStyle w:val="VerbatimChar"/>
        </w:rPr>
        <w:t xml:space="preserve">    function set_greeting(new: Bytes) {</w:t>
      </w:r>
      <w:r>
        <w:br/>
      </w:r>
      <w:r>
        <w:rPr>
          <w:rStyle w:val="VerbatimChar"/>
        </w:rPr>
        <w:t xml:space="preserve">        greeting = new;</w:t>
      </w:r>
      <w:r>
        <w:br/>
      </w:r>
      <w:r>
        <w:rPr>
          <w:rStyle w:val="VerbatimChar"/>
        </w:rPr>
        <w:t xml:space="preserve">        emit GreetingChanged(new);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event GreetingChanged(new_greeting: Bytes);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Notes:</w:t>
      </w:r>
      <w:r>
        <w:t xml:space="preserve"> </w:t>
      </w:r>
      <w:r>
        <w:t xml:space="preserve">Writing and reading the</w:t>
      </w:r>
      <w:r>
        <w:t xml:space="preserve"> </w:t>
      </w:r>
      <w:r>
        <w:rPr>
          <w:rStyle w:val="VerbatimChar"/>
        </w:rPr>
        <w:t xml:space="preserve">greeting</w:t>
      </w:r>
      <w:r>
        <w:t xml:space="preserve"> </w:t>
      </w:r>
      <w:r>
        <w:t xml:space="preserve">variable</w:t>
      </w:r>
      <w:r>
        <w:t xml:space="preserve"> </w:t>
      </w:r>
      <w:r>
        <w:t xml:space="preserve">incurs storage gas costs (§3.6). The event emission</w:t>
      </w:r>
      <w:r>
        <w:t xml:space="preserve"> </w:t>
      </w:r>
      <w:r>
        <w:t xml:space="preserve">records a log entry that off‑chain clients can observe.</w:t>
      </w:r>
    </w:p>
    <w:bookmarkEnd w:id="20"/>
    <w:bookmarkStart w:id="21" w:name="pqc-dao-contract-quantumdao"/>
    <w:p>
      <w:pPr>
        <w:pStyle w:val="Heading2"/>
      </w:pPr>
      <w:r>
        <w:t xml:space="preserve">10.2 PQC DAO Contract (QuantumDAO)</w:t>
      </w:r>
    </w:p>
    <w:p>
      <w:pPr>
        <w:pStyle w:val="FirstParagraph"/>
      </w:pPr>
      <w:r>
        <w:t xml:space="preserve">A comprehensive example from the SynQ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SynQDAO_Example.md</w:t>
      </w:r>
      <w:r>
        <w:t xml:space="preserve">) demonstrates a DAO where members</w:t>
      </w:r>
      <w:r>
        <w:t xml:space="preserve"> </w:t>
      </w:r>
      <w:r>
        <w:t xml:space="preserve">submit and vote on proposals using Dilithium and Falcon</w:t>
      </w:r>
      <w:r>
        <w:t xml:space="preserve"> </w:t>
      </w:r>
      <w:r>
        <w:t xml:space="preserve">signatures. Key features include: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Member management:</w:t>
      </w:r>
      <w:r>
        <w:t xml:space="preserve"> </w:t>
      </w:r>
      <w:r>
        <w:t xml:space="preserve">adding members requires</w:t>
      </w:r>
      <w:r>
        <w:t xml:space="preserve"> </w:t>
      </w:r>
      <w:r>
        <w:t xml:space="preserve">authorisation by the admin via composite signatures.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Proposal submission:</w:t>
      </w:r>
      <w:r>
        <w:t xml:space="preserve"> </w:t>
      </w:r>
      <w:r>
        <w:t xml:space="preserve">proposals carry arbitrary data and</w:t>
      </w:r>
      <w:r>
        <w:t xml:space="preserve"> </w:t>
      </w:r>
      <w:r>
        <w:t xml:space="preserve">are hashed for uniqueness. Gas annotations account for</w:t>
      </w:r>
      <w:r>
        <w:t xml:space="preserve"> </w:t>
      </w:r>
      <w:r>
        <w:t xml:space="preserve">signature verification (§2.5).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Vote encryption:</w:t>
      </w:r>
      <w:r>
        <w:t xml:space="preserve"> </w:t>
      </w:r>
      <w:r>
        <w:t xml:space="preserve">votes are encapsulated via Kyber and</w:t>
      </w:r>
      <w:r>
        <w:t xml:space="preserve"> </w:t>
      </w:r>
      <w:r>
        <w:t xml:space="preserve">decrypted in batch using the DAO’s</w:t>
      </w:r>
      <w:r>
        <w:t xml:space="preserve"> </w:t>
      </w:r>
      <w:r>
        <w:rPr>
          <w:rStyle w:val="VerbatimChar"/>
        </w:rPr>
        <w:t xml:space="preserve">vote_key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Batch tallying:</w:t>
      </w:r>
      <w:r>
        <w:t xml:space="preserve"> </w:t>
      </w:r>
      <w:r>
        <w:t xml:space="preserve">votes are tallied in a gas‑optimised</w:t>
      </w:r>
      <w:r>
        <w:t xml:space="preserve"> </w:t>
      </w:r>
      <w:r>
        <w:t xml:space="preserve">loop within</w:t>
      </w:r>
      <w:r>
        <w:t xml:space="preserve"> </w:t>
      </w:r>
      <w:r>
        <w:rPr>
          <w:rStyle w:val="VerbatimChar"/>
        </w:rPr>
        <w:t xml:space="preserve">with_gas_limit</w:t>
      </w:r>
      <w:r>
        <w:t xml:space="preserve">, and proposals execute if</w:t>
      </w:r>
      <w:r>
        <w:t xml:space="preserve"> </w:t>
      </w:r>
      <w:r>
        <w:t xml:space="preserve">quorum is reached.</w:t>
      </w:r>
    </w:p>
    <w:p>
      <w:pPr>
        <w:pStyle w:val="FirstParagraph"/>
      </w:pPr>
      <w:r>
        <w:t xml:space="preserve">The full contract can be found in the example file and</w:t>
      </w:r>
      <w:r>
        <w:t xml:space="preserve"> </w:t>
      </w:r>
      <w:r>
        <w:t xml:space="preserve">serves as a pattern for complex governance applications.</w:t>
      </w:r>
    </w:p>
    <w:bookmarkEnd w:id="21"/>
    <w:bookmarkStart w:id="22" w:name="multisignature-wallet"/>
    <w:p>
      <w:pPr>
        <w:pStyle w:val="Heading2"/>
      </w:pPr>
      <w:r>
        <w:t xml:space="preserve">10.3 Multi‑Signature Wallet</w:t>
      </w:r>
    </w:p>
    <w:p>
      <w:pPr>
        <w:pStyle w:val="FirstParagraph"/>
      </w:pPr>
      <w:r>
        <w:t xml:space="preserve">A multi‑signature wallet requires M‑of‑N owners to sign a</w:t>
      </w:r>
      <w:r>
        <w:t xml:space="preserve"> </w:t>
      </w:r>
      <w:r>
        <w:t xml:space="preserve">transaction before funds are released. SynQ makes it</w:t>
      </w:r>
      <w:r>
        <w:t xml:space="preserve"> </w:t>
      </w:r>
      <w:r>
        <w:t xml:space="preserve">straightforward to combine PQC signatures:</w:t>
      </w:r>
    </w:p>
    <w:p>
      <w:pPr>
        <w:pStyle w:val="SourceCode"/>
      </w:pPr>
      <w:r>
        <w:rPr>
          <w:rStyle w:val="VerbatimChar"/>
        </w:rPr>
        <w:t xml:space="preserve">contract MultiSigWallet {</w:t>
      </w:r>
      <w:r>
        <w:br/>
      </w:r>
      <w:r>
        <w:rPr>
          <w:rStyle w:val="VerbatimChar"/>
        </w:rPr>
        <w:t xml:space="preserve">    owners: Address[];</w:t>
      </w:r>
      <w:r>
        <w:br/>
      </w:r>
      <w:r>
        <w:rPr>
          <w:rStyle w:val="VerbatimChar"/>
        </w:rPr>
        <w:t xml:space="preserve">    threshold: UInt256;</w:t>
      </w:r>
      <w:r>
        <w:br/>
      </w:r>
      <w:r>
        <w:rPr>
          <w:rStyle w:val="VerbatimChar"/>
        </w:rPr>
        <w:t xml:space="preserve">    pending: mapping&lt;UInt256, TxProposal&gt;;</w:t>
      </w:r>
      <w:r>
        <w:br/>
      </w:r>
      <w:r>
        <w:rPr>
          <w:rStyle w:val="VerbatimChar"/>
        </w:rPr>
        <w:t xml:space="preserve">    next_id: UInt256;</w:t>
      </w:r>
      <w:r>
        <w:br/>
      </w:r>
      <w:r>
        <w:br/>
      </w:r>
      <w:r>
        <w:rPr>
          <w:rStyle w:val="VerbatimChar"/>
        </w:rPr>
        <w:t xml:space="preserve">    struct TxProposal {</w:t>
      </w:r>
      <w:r>
        <w:br/>
      </w:r>
      <w:r>
        <w:rPr>
          <w:rStyle w:val="VerbatimChar"/>
        </w:rPr>
        <w:t xml:space="preserve">        to: Address;</w:t>
      </w:r>
      <w:r>
        <w:br/>
      </w:r>
      <w:r>
        <w:rPr>
          <w:rStyle w:val="VerbatimChar"/>
        </w:rPr>
        <w:t xml:space="preserve">        value: UInt256;</w:t>
      </w:r>
      <w:r>
        <w:br/>
      </w:r>
      <w:r>
        <w:rPr>
          <w:rStyle w:val="VerbatimChar"/>
        </w:rPr>
        <w:t xml:space="preserve">        approvals: UInt256;</w:t>
      </w:r>
      <w:r>
        <w:br/>
      </w:r>
      <w:r>
        <w:rPr>
          <w:rStyle w:val="VerbatimChar"/>
        </w:rPr>
        <w:t xml:space="preserve">        executed: Bool;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@public</w:t>
      </w:r>
      <w:r>
        <w:br/>
      </w:r>
      <w:r>
        <w:rPr>
          <w:rStyle w:val="VerbatimChar"/>
        </w:rPr>
        <w:t xml:space="preserve">    function propose(to: Address, value: UInt256) {</w:t>
      </w:r>
      <w:r>
        <w:br/>
      </w:r>
      <w:r>
        <w:rPr>
          <w:rStyle w:val="VerbatimChar"/>
        </w:rPr>
        <w:t xml:space="preserve">        let id = next_id;</w:t>
      </w:r>
      <w:r>
        <w:br/>
      </w:r>
      <w:r>
        <w:rPr>
          <w:rStyle w:val="VerbatimChar"/>
        </w:rPr>
        <w:t xml:space="preserve">        pending[id] = TxProposal(to, value, 0, false);</w:t>
      </w:r>
      <w:r>
        <w:br/>
      </w:r>
      <w:r>
        <w:rPr>
          <w:rStyle w:val="VerbatimChar"/>
        </w:rPr>
        <w:t xml:space="preserve">        next_id += 1;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@public</w:t>
      </w:r>
      <w:r>
        <w:br/>
      </w:r>
      <w:r>
        <w:rPr>
          <w:rStyle w:val="VerbatimChar"/>
        </w:rPr>
        <w:t xml:space="preserve">    function approve(id: UInt256, sig: DilithiumSignature&lt;3&gt;) {</w:t>
      </w:r>
      <w:r>
        <w:br/>
      </w:r>
      <w:r>
        <w:rPr>
          <w:rStyle w:val="VerbatimChar"/>
        </w:rPr>
        <w:t xml:space="preserve">        let p = pending[id];</w:t>
      </w:r>
      <w:r>
        <w:br/>
      </w:r>
      <w:r>
        <w:rPr>
          <w:rStyle w:val="VerbatimChar"/>
        </w:rPr>
        <w:t xml:space="preserve">        require(!p.executed, "Already executed");</w:t>
      </w:r>
      <w:r>
        <w:br/>
      </w:r>
      <w:r>
        <w:rPr>
          <w:rStyle w:val="VerbatimChar"/>
        </w:rPr>
        <w:t xml:space="preserve">        require(is_owner(msg.sender), "Not an owner");</w:t>
      </w:r>
      <w:r>
        <w:br/>
      </w:r>
      <w:r>
        <w:rPr>
          <w:rStyle w:val="VerbatimChar"/>
        </w:rPr>
        <w:t xml:space="preserve">        require(verify_dilithium&lt;3&gt;(hash(id), sig, get_key(msg.sender)), "Bad sig");</w:t>
      </w:r>
      <w:r>
        <w:br/>
      </w:r>
      <w:r>
        <w:rPr>
          <w:rStyle w:val="VerbatimChar"/>
        </w:rPr>
        <w:t xml:space="preserve">        p.approvals += 1;</w:t>
      </w:r>
      <w:r>
        <w:br/>
      </w:r>
      <w:r>
        <w:rPr>
          <w:rStyle w:val="VerbatimChar"/>
        </w:rPr>
        <w:t xml:space="preserve">        if (p.approvals &gt;= threshold) {</w:t>
      </w:r>
      <w:r>
        <w:br/>
      </w:r>
      <w:r>
        <w:rPr>
          <w:rStyle w:val="VerbatimChar"/>
        </w:rPr>
        <w:t xml:space="preserve">            execute(id);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function execute(id: UInt256) private {</w:t>
      </w:r>
      <w:r>
        <w:br/>
      </w:r>
      <w:r>
        <w:rPr>
          <w:rStyle w:val="VerbatimChar"/>
        </w:rPr>
        <w:t xml:space="preserve">        let p = pending[id];</w:t>
      </w:r>
      <w:r>
        <w:br/>
      </w:r>
      <w:r>
        <w:rPr>
          <w:rStyle w:val="VerbatimChar"/>
        </w:rPr>
        <w:t xml:space="preserve">        p.executed = true;</w:t>
      </w:r>
      <w:r>
        <w:br/>
      </w:r>
      <w:r>
        <w:rPr>
          <w:rStyle w:val="VerbatimChar"/>
        </w:rPr>
        <w:t xml:space="preserve">        send(p.to, p.value);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Pattern:</w:t>
      </w:r>
      <w:r>
        <w:t xml:space="preserve"> </w:t>
      </w:r>
      <w:r>
        <w:t xml:space="preserve">Use a mapping to store pending transactions</w:t>
      </w:r>
      <w:r>
        <w:t xml:space="preserve"> </w:t>
      </w:r>
      <w:r>
        <w:t xml:space="preserve">keyed by proposal ID. Verify each signature and track</w:t>
      </w:r>
      <w:r>
        <w:t xml:space="preserve"> </w:t>
      </w:r>
      <w:r>
        <w:t xml:space="preserve">approvals. Once the threshold is reached, execute the</w:t>
      </w:r>
      <w:r>
        <w:t xml:space="preserve"> </w:t>
      </w:r>
      <w:r>
        <w:t xml:space="preserve">transaction. Gas annotations ensure that repeated</w:t>
      </w:r>
      <w:r>
        <w:t xml:space="preserve"> </w:t>
      </w:r>
      <w:r>
        <w:t xml:space="preserve">approvals do not exceed the gas limit.</w:t>
      </w:r>
    </w:p>
    <w:bookmarkEnd w:id="22"/>
    <w:bookmarkStart w:id="23" w:name="batch-verification-service"/>
    <w:p>
      <w:pPr>
        <w:pStyle w:val="Heading2"/>
      </w:pPr>
      <w:r>
        <w:t xml:space="preserve">10.4 Batch Verification Service</w:t>
      </w:r>
    </w:p>
    <w:p>
      <w:pPr>
        <w:pStyle w:val="FirstParagraph"/>
      </w:pPr>
      <w:r>
        <w:t xml:space="preserve">For off‑chain services verifying many signatures, a</w:t>
      </w:r>
      <w:r>
        <w:t xml:space="preserve"> </w:t>
      </w:r>
      <w:r>
        <w:t xml:space="preserve">contract can batch‑verify inputs for a fee:</w:t>
      </w:r>
    </w:p>
    <w:p>
      <w:pPr>
        <w:pStyle w:val="SourceCode"/>
      </w:pPr>
      <w:r>
        <w:rPr>
          <w:rStyle w:val="VerbatimChar"/>
        </w:rPr>
        <w:t xml:space="preserve">contract BatchVerifier {</w:t>
      </w:r>
      <w:r>
        <w:br/>
      </w:r>
      <w:r>
        <w:rPr>
          <w:rStyle w:val="VerbatimChar"/>
        </w:rPr>
        <w:t xml:space="preserve">    price_per_sig: UInt256;</w:t>
      </w:r>
      <w:r>
        <w:br/>
      </w:r>
      <w:r>
        <w:br/>
      </w:r>
      <w:r>
        <w:rPr>
          <w:rStyle w:val="VerbatimChar"/>
        </w:rPr>
        <w:t xml:space="preserve">    @public</w:t>
      </w:r>
      <w:r>
        <w:br/>
      </w:r>
      <w:r>
        <w:rPr>
          <w:rStyle w:val="VerbatimChar"/>
        </w:rPr>
        <w:t xml:space="preserve">    function verify_all(msgs: Bytes[], sigs: FalconSignature&lt;512&gt;[], pks: FalconPublicKey&lt;512&gt;[]) -&gt; Bool[] @gas_cost(base: 75_000, per_member: 30_000) {</w:t>
      </w:r>
      <w:r>
        <w:br/>
      </w:r>
      <w:r>
        <w:rPr>
          <w:rStyle w:val="VerbatimChar"/>
        </w:rPr>
        <w:t xml:space="preserve">        require(msgs.length == sigs.length &amp;&amp; sigs.length == pks.length, "Length mismatch");</w:t>
      </w:r>
      <w:r>
        <w:br/>
      </w:r>
      <w:r>
        <w:rPr>
          <w:rStyle w:val="VerbatimChar"/>
        </w:rPr>
        <w:t xml:space="preserve">        return falcon_batch_verify(sigs, pks, msgs);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Clients pay</w:t>
      </w:r>
      <w:r>
        <w:t xml:space="preserve"> </w:t>
      </w:r>
      <w:r>
        <w:rPr>
          <w:rStyle w:val="VerbatimChar"/>
        </w:rPr>
        <w:t xml:space="preserve">price_per_sig × n</w:t>
      </w:r>
      <w:r>
        <w:t xml:space="preserve"> </w:t>
      </w:r>
      <w:r>
        <w:t xml:space="preserve">tokens for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verifications.</w:t>
      </w:r>
      <w:r>
        <w:t xml:space="preserve"> </w:t>
      </w:r>
      <w:r>
        <w:t xml:space="preserve">The contract uses the built‑in batch precompile (§3.6) to</w:t>
      </w:r>
      <w:r>
        <w:t xml:space="preserve"> </w:t>
      </w:r>
      <w:r>
        <w:t xml:space="preserve">verify in one call.</w:t>
      </w:r>
    </w:p>
    <w:bookmarkEnd w:id="23"/>
    <w:bookmarkStart w:id="24" w:name="crosschain-bridge"/>
    <w:p>
      <w:pPr>
        <w:pStyle w:val="Heading2"/>
      </w:pPr>
      <w:r>
        <w:t xml:space="preserve">10.5 Cross‑Chain Bridge</w:t>
      </w:r>
    </w:p>
    <w:p>
      <w:pPr>
        <w:pStyle w:val="FirstParagraph"/>
      </w:pPr>
      <w:r>
        <w:t xml:space="preserve">A bridge contract on SynQ receives proofs from an</w:t>
      </w:r>
      <w:r>
        <w:t xml:space="preserve"> </w:t>
      </w:r>
      <w:r>
        <w:t xml:space="preserve">external chain and mints wrapped tokens. Example:</w:t>
      </w:r>
    </w:p>
    <w:p>
      <w:pPr>
        <w:pStyle w:val="SourceCode"/>
      </w:pPr>
      <w:r>
        <w:rPr>
          <w:rStyle w:val="VerbatimChar"/>
        </w:rPr>
        <w:t xml:space="preserve">contract TokenBridge {</w:t>
      </w:r>
      <w:r>
        <w:br/>
      </w:r>
      <w:r>
        <w:rPr>
          <w:rStyle w:val="VerbatimChar"/>
        </w:rPr>
        <w:t xml:space="preserve">    bridge: Bridge;</w:t>
      </w:r>
      <w:r>
        <w:br/>
      </w:r>
      <w:r>
        <w:rPr>
          <w:rStyle w:val="VerbatimChar"/>
        </w:rPr>
        <w:t xml:space="preserve">    token: Token;</w:t>
      </w:r>
      <w:r>
        <w:br/>
      </w:r>
      <w:r>
        <w:br/>
      </w:r>
      <w:r>
        <w:rPr>
          <w:rStyle w:val="VerbatimChar"/>
        </w:rPr>
        <w:t xml:space="preserve">    @public</w:t>
      </w:r>
      <w:r>
        <w:br/>
      </w:r>
      <w:r>
        <w:rPr>
          <w:rStyle w:val="VerbatimChar"/>
        </w:rPr>
        <w:t xml:space="preserve">    function receiveProof(chain: UInt256, source: Address, payload: Bytes, sigs: DilithiumSignature&lt;3&gt;[]) {</w:t>
      </w:r>
      <w:r>
        <w:br/>
      </w:r>
      <w:r>
        <w:rPr>
          <w:rStyle w:val="VerbatimChar"/>
        </w:rPr>
        <w:t xml:space="preserve">        require(bridge.verify(chain, source, payload, sigs), "Bad proof");</w:t>
      </w:r>
      <w:r>
        <w:br/>
      </w:r>
      <w:r>
        <w:rPr>
          <w:rStyle w:val="VerbatimChar"/>
        </w:rPr>
        <w:t xml:space="preserve">        let (recipient, amount) = abi::decode&lt;Address, UInt256&gt;(payload);</w:t>
      </w:r>
      <w:r>
        <w:br/>
      </w:r>
      <w:r>
        <w:rPr>
          <w:rStyle w:val="VerbatimChar"/>
        </w:rPr>
        <w:t xml:space="preserve">        token.mint(recipient, amount);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Bridge.verify</w:t>
      </w:r>
      <w:r>
        <w:t xml:space="preserve"> </w:t>
      </w:r>
      <w:r>
        <w:t xml:space="preserve">method checks relayer signatures and</w:t>
      </w:r>
      <w:r>
        <w:t xml:space="preserve"> </w:t>
      </w:r>
      <w:r>
        <w:t xml:space="preserve">proof validity (§5.2). Once verified, the bridge mints new</w:t>
      </w:r>
      <w:r>
        <w:t xml:space="preserve"> </w:t>
      </w:r>
      <w:r>
        <w:t xml:space="preserve">tokens on SynQ.</w:t>
      </w:r>
    </w:p>
    <w:bookmarkEnd w:id="24"/>
    <w:bookmarkStart w:id="25" w:name="voting-governance-patterns"/>
    <w:p>
      <w:pPr>
        <w:pStyle w:val="Heading2"/>
      </w:pPr>
      <w:r>
        <w:t xml:space="preserve">10.6 Voting &amp; Governance Patterns</w:t>
      </w:r>
    </w:p>
    <w:p>
      <w:pPr>
        <w:pStyle w:val="FirstParagraph"/>
      </w:pPr>
      <w:r>
        <w:t xml:space="preserve">Governance contracts often require weighted voting,</w:t>
      </w:r>
      <w:r>
        <w:t xml:space="preserve"> </w:t>
      </w:r>
      <w:r>
        <w:t xml:space="preserve">quorum checks, and timelocks. SynQ’s standard library</w:t>
      </w:r>
      <w:r>
        <w:t xml:space="preserve"> </w:t>
      </w:r>
      <w:r>
        <w:t xml:space="preserve">provides helper functions to compute voting power,</w:t>
      </w:r>
      <w:r>
        <w:t xml:space="preserve"> </w:t>
      </w:r>
      <w:r>
        <w:t xml:space="preserve">implement cooldown periods and emit events. Developers</w:t>
      </w:r>
      <w:r>
        <w:t xml:space="preserve"> </w:t>
      </w:r>
      <w:r>
        <w:t xml:space="preserve">should follow patterns from the QuantumDAO example and</w:t>
      </w:r>
      <w:r>
        <w:t xml:space="preserve"> </w:t>
      </w:r>
      <w:r>
        <w:t xml:space="preserve">ensure that votes are encrypted when privacy is needed.</w:t>
      </w:r>
    </w:p>
    <w:bookmarkEnd w:id="25"/>
    <w:bookmarkStart w:id="26" w:name="payment-channels-escrow"/>
    <w:p>
      <w:pPr>
        <w:pStyle w:val="Heading2"/>
      </w:pPr>
      <w:r>
        <w:t xml:space="preserve">10.7 Payment Channels &amp; Escrow</w:t>
      </w:r>
    </w:p>
    <w:p>
      <w:pPr>
        <w:pStyle w:val="FirstParagraph"/>
      </w:pPr>
      <w:r>
        <w:t xml:space="preserve">Off‑chain payment channels reduce on‑chain congestion. A</w:t>
      </w:r>
      <w:r>
        <w:t xml:space="preserve"> </w:t>
      </w:r>
      <w:r>
        <w:t xml:space="preserve">simple escrow contract holds funds until both parties</w:t>
      </w:r>
      <w:r>
        <w:t xml:space="preserve"> </w:t>
      </w:r>
      <w:r>
        <w:t xml:space="preserve">submit signatures releasing the funds. SynQ’s PQC</w:t>
      </w:r>
      <w:r>
        <w:t xml:space="preserve"> </w:t>
      </w:r>
      <w:r>
        <w:t xml:space="preserve">primitives ensure that signatures cannot be forged. The</w:t>
      </w:r>
      <w:r>
        <w:t xml:space="preserve"> </w:t>
      </w:r>
      <w:r>
        <w:t xml:space="preserve">contract must handle timeouts and dispute resolution.</w:t>
      </w:r>
    </w:p>
    <w:bookmarkEnd w:id="26"/>
    <w:bookmarkStart w:id="27" w:name="upgradeable-contracts"/>
    <w:p>
      <w:pPr>
        <w:pStyle w:val="Heading2"/>
      </w:pPr>
      <w:r>
        <w:t xml:space="preserve">10.8 Upgradeable Contracts</w:t>
      </w:r>
    </w:p>
    <w:p>
      <w:pPr>
        <w:pStyle w:val="FirstParagraph"/>
      </w:pPr>
      <w:r>
        <w:t xml:space="preserve">Proxy patterns allow contracts to upgrade logic while</w:t>
      </w:r>
      <w:r>
        <w:t xml:space="preserve"> </w:t>
      </w:r>
      <w:r>
        <w:t xml:space="preserve">preserving state. In SynQ, an upgradeable proxy stores</w:t>
      </w:r>
      <w:r>
        <w:t xml:space="preserve"> </w:t>
      </w:r>
      <w:r>
        <w:t xml:space="preserve">the address of the implementation contract and delegates</w:t>
      </w:r>
      <w:r>
        <w:t xml:space="preserve"> </w:t>
      </w:r>
      <w:r>
        <w:t xml:space="preserve">calls. Upgrades require authorisation by a governance</w:t>
      </w:r>
      <w:r>
        <w:t xml:space="preserve"> </w:t>
      </w:r>
      <w:r>
        <w:t xml:space="preserve">key using PQC signatures. The proxy must validate new</w:t>
      </w:r>
      <w:r>
        <w:t xml:space="preserve"> </w:t>
      </w:r>
      <w:r>
        <w:t xml:space="preserve">implementations against an interface to prevent</w:t>
      </w:r>
      <w:r>
        <w:t xml:space="preserve"> </w:t>
      </w:r>
      <w:r>
        <w:t xml:space="preserve">brick‑laying.</w:t>
      </w:r>
    </w:p>
    <w:bookmarkEnd w:id="27"/>
    <w:bookmarkStart w:id="28" w:name="randomness-lottery-patterns"/>
    <w:p>
      <w:pPr>
        <w:pStyle w:val="Heading2"/>
      </w:pPr>
      <w:r>
        <w:t xml:space="preserve">10.9 Randomness &amp; Lottery Patterns</w:t>
      </w:r>
    </w:p>
    <w:p>
      <w:pPr>
        <w:pStyle w:val="FirstParagraph"/>
      </w:pPr>
      <w:r>
        <w:t xml:space="preserve">Lotteries and random draws require unpredictable inputs.</w:t>
      </w:r>
      <w:r>
        <w:t xml:space="preserve"> </w:t>
      </w:r>
      <w:r>
        <w:t xml:space="preserve">Contracts may call the randomness beacon (§5.6) to</w:t>
      </w:r>
      <w:r>
        <w:t xml:space="preserve"> </w:t>
      </w:r>
      <w:r>
        <w:t xml:space="preserve">obtain VRF outputs. It is recommended to mix the beacon</w:t>
      </w:r>
      <w:r>
        <w:t xml:space="preserve"> </w:t>
      </w:r>
      <w:r>
        <w:t xml:space="preserve">output with user‑provided seeds to prevent bias. Gas</w:t>
      </w:r>
      <w:r>
        <w:t xml:space="preserve"> </w:t>
      </w:r>
      <w:r>
        <w:t xml:space="preserve">limits must be set appropriately as randomness generation</w:t>
      </w:r>
      <w:r>
        <w:t xml:space="preserve"> </w:t>
      </w:r>
      <w:r>
        <w:t xml:space="preserve">may invoke hardware acceleration.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2025-10-18T01:19:34Z</dcterms:created>
  <dcterms:modified xsi:type="dcterms:W3CDTF">2025-10-18T01:19:34Z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