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mplementation-roadmap"/>
    <w:p>
      <w:pPr>
        <w:pStyle w:val="Heading1"/>
      </w:pPr>
      <w:r>
        <w:t xml:space="preserve">17 Implementation Roadmap</w:t>
      </w:r>
    </w:p>
    <w:p>
      <w:pPr>
        <w:pStyle w:val="FirstParagraph"/>
      </w:pPr>
      <w:r>
        <w:t xml:space="preserve">Delivering PoSy and SXCP to production requires a phased approach with clear milestones, audits and testing gates. This roadmap outlines the planned sequence of releases, corresponding features and exit criteria.</w:t>
      </w:r>
    </w:p>
    <w:bookmarkStart w:id="20" w:name="phase-1-core-posy"/>
    <w:p>
      <w:pPr>
        <w:pStyle w:val="Heading2"/>
      </w:pPr>
      <w:r>
        <w:t xml:space="preserve">17.1 Phase 1 – Core PoSy</w:t>
      </w:r>
    </w:p>
    <w:p>
      <w:pPr>
        <w:pStyle w:val="FirstParagraph"/>
      </w:pPr>
      <w:r>
        <w:rPr>
          <w:bCs/>
          <w:b/>
        </w:rPr>
        <w:t xml:space="preserve">Timeline:</w:t>
      </w:r>
      <w:r>
        <w:t xml:space="preserve"> </w:t>
      </w:r>
      <w:r>
        <w:t xml:space="preserve">Months 0–6</w:t>
      </w:r>
    </w:p>
    <w:p>
      <w:pPr>
        <w:pStyle w:val="BodyText"/>
      </w:pPr>
      <w:r>
        <w:rPr>
          <w:bCs/>
          <w:b/>
        </w:rPr>
        <w:t xml:space="preserve">Scope:</w:t>
      </w:r>
    </w:p>
    <w:p>
      <w:pPr>
        <w:numPr>
          <w:ilvl w:val="0"/>
          <w:numId w:val="1001"/>
        </w:numPr>
        <w:pStyle w:val="Compact"/>
      </w:pPr>
      <w:r>
        <w:t xml:space="preserve">Implement the core BFT consensus loop with Aegis signatures, weighted quorums and adaptive timeouts (§14).</w:t>
      </w:r>
    </w:p>
    <w:p>
      <w:pPr>
        <w:numPr>
          <w:ilvl w:val="0"/>
          <w:numId w:val="1001"/>
        </w:numPr>
        <w:pStyle w:val="Compact"/>
      </w:pPr>
      <w:r>
        <w:t xml:space="preserve">Integrate the Aegis VRF beacon and leader selection (§6).</w:t>
      </w:r>
    </w:p>
    <w:p>
      <w:pPr>
        <w:numPr>
          <w:ilvl w:val="0"/>
          <w:numId w:val="1001"/>
        </w:numPr>
        <w:pStyle w:val="Compact"/>
      </w:pPr>
      <w:r>
        <w:t xml:space="preserve">Support basic staking, validator registration and reward distribution (§8).</w:t>
      </w:r>
    </w:p>
    <w:p>
      <w:pPr>
        <w:numPr>
          <w:ilvl w:val="0"/>
          <w:numId w:val="1001"/>
        </w:numPr>
        <w:pStyle w:val="Compact"/>
      </w:pPr>
      <w:r>
        <w:t xml:space="preserve">Provide RPC endpoints for block submission, validator queries and network monitoring.</w:t>
      </w:r>
    </w:p>
    <w:p>
      <w:pPr>
        <w:numPr>
          <w:ilvl w:val="0"/>
          <w:numId w:val="1001"/>
        </w:numPr>
        <w:pStyle w:val="Compact"/>
      </w:pPr>
      <w:r>
        <w:t xml:space="preserve">Develop a command‑line client and light client prototype.</w:t>
      </w:r>
    </w:p>
    <w:p>
      <w:pPr>
        <w:pStyle w:val="FirstParagraph"/>
      </w:pPr>
      <w:r>
        <w:rPr>
          <w:bCs/>
          <w:b/>
        </w:rPr>
        <w:t xml:space="preserve">Exit Criteria:</w:t>
      </w:r>
    </w:p>
    <w:p>
      <w:pPr>
        <w:numPr>
          <w:ilvl w:val="0"/>
          <w:numId w:val="1002"/>
        </w:numPr>
        <w:pStyle w:val="Compact"/>
      </w:pPr>
      <w:r>
        <w:t xml:space="preserve">All core functions pass the test vector suite (§15) and formal verification of safety/liveness invariants.</w:t>
      </w:r>
    </w:p>
    <w:p>
      <w:pPr>
        <w:numPr>
          <w:ilvl w:val="0"/>
          <w:numId w:val="1002"/>
        </w:numPr>
        <w:pStyle w:val="Compact"/>
      </w:pPr>
      <w:r>
        <w:t xml:space="preserve">A public testnet runs continuously for at least four weeks with ≥ 50 validators.</w:t>
      </w:r>
    </w:p>
    <w:p>
      <w:pPr>
        <w:numPr>
          <w:ilvl w:val="0"/>
          <w:numId w:val="1002"/>
        </w:numPr>
        <w:pStyle w:val="Compact"/>
      </w:pPr>
      <w:r>
        <w:t xml:space="preserve">First external audit completed and recommendations addressed.</w:t>
      </w:r>
    </w:p>
    <w:bookmarkEnd w:id="20"/>
    <w:bookmarkStart w:id="21" w:name="phase-2-sxcp-testnet"/>
    <w:p>
      <w:pPr>
        <w:pStyle w:val="Heading2"/>
      </w:pPr>
      <w:r>
        <w:t xml:space="preserve">17.2 Phase 2 – SXCP Testnet</w:t>
      </w:r>
    </w:p>
    <w:p>
      <w:pPr>
        <w:pStyle w:val="FirstParagraph"/>
      </w:pPr>
      <w:r>
        <w:rPr>
          <w:bCs/>
          <w:b/>
        </w:rPr>
        <w:t xml:space="preserve">Timeline:</w:t>
      </w:r>
      <w:r>
        <w:t xml:space="preserve"> </w:t>
      </w:r>
      <w:r>
        <w:t xml:space="preserve">Months 6–12</w:t>
      </w:r>
    </w:p>
    <w:p>
      <w:pPr>
        <w:pStyle w:val="BodyText"/>
      </w:pPr>
      <w:r>
        <w:rPr>
          <w:bCs/>
          <w:b/>
        </w:rPr>
        <w:t xml:space="preserve">Scope:</w:t>
      </w:r>
    </w:p>
    <w:p>
      <w:pPr>
        <w:numPr>
          <w:ilvl w:val="0"/>
          <w:numId w:val="1003"/>
        </w:numPr>
        <w:pStyle w:val="Compact"/>
      </w:pPr>
      <w:r>
        <w:t xml:space="preserve">Deploy the SXCP relayer registry and UMA link API (§13).</w:t>
      </w:r>
    </w:p>
    <w:p>
      <w:pPr>
        <w:numPr>
          <w:ilvl w:val="0"/>
          <w:numId w:val="1003"/>
        </w:numPr>
        <w:pStyle w:val="Compact"/>
      </w:pPr>
      <w:r>
        <w:t xml:space="preserve">Implement cross‑chain proof generation and verification for Ethereum, Bitcoin and Solana (§19).</w:t>
      </w:r>
    </w:p>
    <w:p>
      <w:pPr>
        <w:numPr>
          <w:ilvl w:val="0"/>
          <w:numId w:val="1003"/>
        </w:numPr>
        <w:pStyle w:val="Compact"/>
      </w:pPr>
      <w:r>
        <w:t xml:space="preserve">Launch watcher network to monitor external chains and submit evidence (§9).</w:t>
      </w:r>
    </w:p>
    <w:p>
      <w:pPr>
        <w:numPr>
          <w:ilvl w:val="0"/>
          <w:numId w:val="1003"/>
        </w:numPr>
        <w:pStyle w:val="Compact"/>
      </w:pPr>
      <w:r>
        <w:t xml:space="preserve">Add relayer bonding, reward distribution and slashing logic (§8, §9).</w:t>
      </w:r>
    </w:p>
    <w:p>
      <w:pPr>
        <w:numPr>
          <w:ilvl w:val="0"/>
          <w:numId w:val="1003"/>
        </w:numPr>
        <w:pStyle w:val="Compact"/>
      </w:pPr>
      <w:r>
        <w:t xml:space="preserve">Introduce the checkpoint interval, attestation aggregation and SXCP vote data in blocks (§7).</w:t>
      </w:r>
    </w:p>
    <w:p>
      <w:pPr>
        <w:pStyle w:val="FirstParagraph"/>
      </w:pPr>
      <w:r>
        <w:rPr>
          <w:bCs/>
          <w:b/>
        </w:rPr>
        <w:t xml:space="preserve">Exit Criteria:</w:t>
      </w:r>
    </w:p>
    <w:p>
      <w:pPr>
        <w:numPr>
          <w:ilvl w:val="0"/>
          <w:numId w:val="1004"/>
        </w:numPr>
        <w:pStyle w:val="Compact"/>
      </w:pPr>
      <w:r>
        <w:t xml:space="preserve">End‑to‑end cross‑chain transfers of test assets complete successfully on the testnet.</w:t>
      </w:r>
    </w:p>
    <w:p>
      <w:pPr>
        <w:numPr>
          <w:ilvl w:val="0"/>
          <w:numId w:val="1004"/>
        </w:numPr>
        <w:pStyle w:val="Compact"/>
      </w:pPr>
      <w:r>
        <w:t xml:space="preserve">Simulated chain reorgs are handled correctly, with mis‑signatures detected and slashed.</w:t>
      </w:r>
    </w:p>
    <w:p>
      <w:pPr>
        <w:numPr>
          <w:ilvl w:val="0"/>
          <w:numId w:val="1004"/>
        </w:numPr>
        <w:pStyle w:val="Compact"/>
      </w:pPr>
      <w:r>
        <w:t xml:space="preserve">A second external audit focusing on SXCP is completed.</w:t>
      </w:r>
    </w:p>
    <w:p>
      <w:pPr>
        <w:numPr>
          <w:ilvl w:val="0"/>
          <w:numId w:val="1004"/>
        </w:numPr>
        <w:pStyle w:val="Compact"/>
      </w:pPr>
      <w:r>
        <w:t xml:space="preserve">Community feedback on API usability is incorporated.</w:t>
      </w:r>
    </w:p>
    <w:bookmarkEnd w:id="21"/>
    <w:bookmarkStart w:id="22" w:name="phase-3-mainnet-beta-aegis"/>
    <w:p>
      <w:pPr>
        <w:pStyle w:val="Heading2"/>
      </w:pPr>
      <w:r>
        <w:t xml:space="preserve">17.3 Phase 3 – Mainnet Beta (Aegis)</w:t>
      </w:r>
    </w:p>
    <w:p>
      <w:pPr>
        <w:pStyle w:val="FirstParagraph"/>
      </w:pPr>
      <w:r>
        <w:rPr>
          <w:bCs/>
          <w:b/>
        </w:rPr>
        <w:t xml:space="preserve">Timeline:</w:t>
      </w:r>
      <w:r>
        <w:t xml:space="preserve"> </w:t>
      </w:r>
      <w:r>
        <w:t xml:space="preserve">Months 12–18</w:t>
      </w:r>
    </w:p>
    <w:p>
      <w:pPr>
        <w:pStyle w:val="BodyText"/>
      </w:pPr>
      <w:r>
        <w:rPr>
          <w:bCs/>
          <w:b/>
        </w:rPr>
        <w:t xml:space="preserve">Scope:</w:t>
      </w:r>
    </w:p>
    <w:p>
      <w:pPr>
        <w:numPr>
          <w:ilvl w:val="0"/>
          <w:numId w:val="1005"/>
        </w:numPr>
        <w:pStyle w:val="Compact"/>
      </w:pPr>
      <w:r>
        <w:t xml:space="preserve">Launch the mainnet with production parameters (§12) and validated economic incentives.</w:t>
      </w:r>
    </w:p>
    <w:p>
      <w:pPr>
        <w:numPr>
          <w:ilvl w:val="0"/>
          <w:numId w:val="1005"/>
        </w:numPr>
        <w:pStyle w:val="Compact"/>
      </w:pPr>
      <w:r>
        <w:t xml:space="preserve">Onboard early stakeholders, data availability verifiers and relayers.</w:t>
      </w:r>
    </w:p>
    <w:p>
      <w:pPr>
        <w:numPr>
          <w:ilvl w:val="0"/>
          <w:numId w:val="1005"/>
        </w:numPr>
        <w:pStyle w:val="Compact"/>
      </w:pPr>
      <w:r>
        <w:t xml:space="preserve">Activate governance and emergency procedures (§26).</w:t>
      </w:r>
    </w:p>
    <w:p>
      <w:pPr>
        <w:numPr>
          <w:ilvl w:val="0"/>
          <w:numId w:val="1005"/>
        </w:numPr>
        <w:pStyle w:val="Compact"/>
      </w:pPr>
      <w:r>
        <w:t xml:space="preserve">Provide comprehensive documentation, SDKs and integration examples.</w:t>
      </w:r>
    </w:p>
    <w:p>
      <w:pPr>
        <w:numPr>
          <w:ilvl w:val="0"/>
          <w:numId w:val="1005"/>
        </w:numPr>
        <w:pStyle w:val="Compact"/>
      </w:pPr>
      <w:r>
        <w:t xml:space="preserve">Continue research and integration of aggregate multisignatures and advanced VRFs (§16).</w:t>
      </w:r>
    </w:p>
    <w:p>
      <w:pPr>
        <w:pStyle w:val="FirstParagraph"/>
      </w:pPr>
      <w:r>
        <w:rPr>
          <w:bCs/>
          <w:b/>
        </w:rPr>
        <w:t xml:space="preserve">Exit Criteria:</w:t>
      </w:r>
    </w:p>
    <w:p>
      <w:pPr>
        <w:numPr>
          <w:ilvl w:val="0"/>
          <w:numId w:val="1006"/>
        </w:numPr>
        <w:pStyle w:val="Compact"/>
      </w:pPr>
      <w:r>
        <w:t xml:space="preserve">Mainnet operates for at least six months with sustained participation and no critical security incidents.</w:t>
      </w:r>
    </w:p>
    <w:p>
      <w:pPr>
        <w:numPr>
          <w:ilvl w:val="0"/>
          <w:numId w:val="1006"/>
        </w:numPr>
        <w:pStyle w:val="Compact"/>
      </w:pPr>
      <w:r>
        <w:t xml:space="preserve">Third‑party integrations (wallets, dApps) successfully perform cross‑chain operations via SXCP.</w:t>
      </w:r>
    </w:p>
    <w:p>
      <w:pPr>
        <w:numPr>
          <w:ilvl w:val="0"/>
          <w:numId w:val="1006"/>
        </w:numPr>
        <w:pStyle w:val="Compact"/>
      </w:pPr>
      <w:r>
        <w:t xml:space="preserve">Governance processes are exercised (parameter upgrades, validator set changes).</w:t>
      </w:r>
    </w:p>
    <w:p>
      <w:pPr>
        <w:numPr>
          <w:ilvl w:val="0"/>
          <w:numId w:val="1006"/>
        </w:numPr>
        <w:pStyle w:val="Compact"/>
      </w:pPr>
      <w:r>
        <w:t xml:space="preserve">Final audits and penetration tests show no high‑severity issues.</w:t>
      </w:r>
    </w:p>
    <w:p>
      <w:pPr>
        <w:pStyle w:val="FirstParagraph"/>
      </w:pPr>
      <w:r>
        <w:t xml:space="preserve">Future phases may include support for additional external chains, rollup integrations and privacy enhancements. Each phase is gated by cross‑disciplinary audits and community votes. The roadmap is subject to change based on research developments and regulatory considerations.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2025-10-17T07:06:41Z</dcterms:created>
  <dcterms:modified xsi:type="dcterms:W3CDTF">2025-10-17T07:06:41Z</dcterms:modified>
</cp:coreProperties>
</file>

<file path=docProps/custom.xml><?xml version="1.0" encoding="utf-8"?>
<Properties xmlns="http://schemas.openxmlformats.org/officeDocument/2006/custom-properties" xmlns:vt="http://schemas.openxmlformats.org/officeDocument/2006/docPropsVTypes"/>
</file>