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leader-and-committee-selection"/>
    <w:p>
      <w:pPr>
        <w:pStyle w:val="Heading1"/>
      </w:pPr>
      <w:r>
        <w:t xml:space="preserve">6. Leader and Committee Selection</w:t>
      </w:r>
    </w:p>
    <w:p>
      <w:pPr>
        <w:pStyle w:val="FirstParagraph"/>
      </w:pPr>
      <w:r>
        <w:t xml:space="preserve">The selection of leaders and committees determines how PoSy progresses and how cross‑chain operations are secured. Selection must be unpredictable to prevent targeted attacks, verifiable so that anyone can audit the outcome, and bias‑resistant to ensure fairness among validators. This section describes the architecture of the selection process, presents the verifiable random functions (VRFs) used, details leader and committee selection algorithms, explains the application of diversity penalties and operator cohorts, provides a worked example, and outlines how signer committees for the Synergy Cross‑Chain Protocol (SXCP) are selected separately from consensus committees.</w:t>
      </w:r>
    </w:p>
    <w:bookmarkStart w:id="20" w:name="selection-architecture"/>
    <w:p>
      <w:pPr>
        <w:pStyle w:val="Heading2"/>
      </w:pPr>
      <w:r>
        <w:t xml:space="preserve">6.1 Selection Architecture</w:t>
      </w:r>
    </w:p>
    <w:p>
      <w:pPr>
        <w:pStyle w:val="FirstParagraph"/>
      </w:pPr>
      <w:r>
        <w:t xml:space="preserve">Selection in PoSy operates on two planes:</w:t>
      </w:r>
    </w:p>
    <w:p>
      <w:pPr>
        <w:numPr>
          <w:ilvl w:val="0"/>
          <w:numId w:val="1001"/>
        </w:numPr>
        <w:pStyle w:val="Compact"/>
      </w:pPr>
      <w:r>
        <w:rPr>
          <w:bCs/>
          <w:b/>
        </w:rPr>
        <w:t xml:space="preserve">Consensus plane:</w:t>
      </w:r>
      <w:r>
        <w:t xml:space="preserve"> </w:t>
      </w:r>
      <w:r>
        <w:t xml:space="preserve">selects a leader and a committee of consensus validators for each round. The leader proposes a block and the committee votes on it. Selection depends on validators’ weights, diversity multipliers and randomness beacons.</w:t>
      </w:r>
    </w:p>
    <w:p>
      <w:pPr>
        <w:numPr>
          <w:ilvl w:val="0"/>
          <w:numId w:val="1001"/>
        </w:numPr>
        <w:pStyle w:val="Compact"/>
      </w:pPr>
      <w:r>
        <w:rPr>
          <w:bCs/>
          <w:b/>
        </w:rPr>
        <w:t xml:space="preserve">Interoperability plane:</w:t>
      </w:r>
      <w:r>
        <w:t xml:space="preserve"> </w:t>
      </w:r>
      <w:r>
        <w:t xml:space="preserve">selects relayer committees for SXCP at epoch boundaries. These committees perform threshold signing for cross‑chain proofs and randomness beacons. Selection uses the same randomness but a distinct domain separator to avoid correlation with consensus committees.</w:t>
      </w:r>
    </w:p>
    <w:p>
      <w:pPr>
        <w:pStyle w:val="FirstParagraph"/>
      </w:pPr>
      <w:r>
        <w:t xml:space="preserve">Selection must satisfy:</w:t>
      </w:r>
    </w:p>
    <w:p>
      <w:pPr>
        <w:numPr>
          <w:ilvl w:val="0"/>
          <w:numId w:val="1002"/>
        </w:numPr>
        <w:pStyle w:val="Compact"/>
      </w:pPr>
      <w:r>
        <w:rPr>
          <w:bCs/>
          <w:b/>
        </w:rPr>
        <w:t xml:space="preserve">Unpredictability:</w:t>
      </w:r>
      <w:r>
        <w:t xml:space="preserve"> </w:t>
      </w:r>
      <w:r>
        <w:t xml:space="preserve">VRF outputs are unknown until computed, preventing adversaries from forecasting future assignments.</w:t>
      </w:r>
    </w:p>
    <w:p>
      <w:pPr>
        <w:numPr>
          <w:ilvl w:val="0"/>
          <w:numId w:val="1002"/>
        </w:numPr>
        <w:pStyle w:val="Compact"/>
      </w:pPr>
      <w:r>
        <w:rPr>
          <w:bCs/>
          <w:b/>
        </w:rPr>
        <w:t xml:space="preserve">Verifiability:</w:t>
      </w:r>
      <w:r>
        <w:t xml:space="preserve"> </w:t>
      </w:r>
      <w:r>
        <w:t xml:space="preserve">VRF proofs and aggregated randomness beacons allow anyone to verify the correctness of selections.</w:t>
      </w:r>
    </w:p>
    <w:p>
      <w:pPr>
        <w:numPr>
          <w:ilvl w:val="0"/>
          <w:numId w:val="1002"/>
        </w:numPr>
        <w:pStyle w:val="Compact"/>
      </w:pPr>
      <w:r>
        <w:rPr>
          <w:bCs/>
          <w:b/>
        </w:rPr>
        <w:t xml:space="preserve">Bias resistance:</w:t>
      </w:r>
      <w:r>
        <w:t xml:space="preserve"> </w:t>
      </w:r>
      <w:r>
        <w:t xml:space="preserve">Validators cannot manipulate inputs to bias their selection probability; weights and diversity multipliers ensure proportional influence and prevent collusion.</w:t>
      </w:r>
    </w:p>
    <w:p>
      <w:pPr>
        <w:numPr>
          <w:ilvl w:val="0"/>
          <w:numId w:val="1002"/>
        </w:numPr>
        <w:pStyle w:val="Compact"/>
      </w:pPr>
      <w:r>
        <w:rPr>
          <w:bCs/>
          <w:b/>
        </w:rPr>
        <w:t xml:space="preserve">Complaint and recovery:</w:t>
      </w:r>
      <w:r>
        <w:t xml:space="preserve"> </w:t>
      </w:r>
      <w:r>
        <w:t xml:space="preserve">If a selected leader or committee member misbehaves (e.g., fails to propose a block), other validators file complaints via TIMEOUT messages. View changes (consensus) or committee rotations (SXCP) recover from misbehaviour.</w:t>
      </w:r>
    </w:p>
    <w:bookmarkEnd w:id="20"/>
    <w:bookmarkStart w:id="21" w:name="verifiable-random-functions-vrf"/>
    <w:p>
      <w:pPr>
        <w:pStyle w:val="Heading2"/>
      </w:pPr>
      <w:r>
        <w:t xml:space="preserve">6.2 Verifiable Random Functions (VRF)</w:t>
      </w:r>
    </w:p>
    <w:p>
      <w:pPr>
        <w:pStyle w:val="FirstParagraph"/>
      </w:pPr>
      <w:r>
        <w:t xml:space="preserve">PoSy uses VRFs based on Aegis signatures. Each validator (i) has a secret key (sk_i) and computes a VRF output and proof on a seed (</w:t>
      </w:r>
      <w:r>
        <w:t xml:space="preserve">_{e,r}) for round (r) in epoch (e):</w:t>
      </w:r>
    </w:p>
    <w:p>
      <w:pPr>
        <w:pStyle w:val="BodyText"/>
      </w:pPr>
      <w:r>
        <w:t xml:space="preserve">[</w:t>
      </w:r>
      <w:r>
        <w:t xml:space="preserve"> </w:t>
      </w:r>
      <w:r>
        <w:t xml:space="preserve">(r_i,</w:t>
      </w:r>
      <w:r>
        <w:t xml:space="preserve"> </w:t>
      </w:r>
      <w:r>
        <w:rPr>
          <w:iCs/>
          <w:i/>
        </w:rPr>
        <w:t xml:space="preserve">i) =</w:t>
      </w:r>
      <w:r>
        <w:rPr>
          <w:iCs/>
          <w:i/>
        </w:rPr>
        <w:t xml:space="preserve"> </w:t>
      </w:r>
      <w:r>
        <w:t xml:space="preserve">{sk_i}(</w:t>
      </w:r>
      <w:r>
        <w:t xml:space="preserve">_{e,r}).</w:t>
      </w:r>
      <w:r>
        <w:t xml:space="preserve"> </w:t>
      </w:r>
      <w:r>
        <w:t xml:space="preserve">]</w:t>
      </w:r>
    </w:p>
    <w:p>
      <w:pPr>
        <w:pStyle w:val="BodyText"/>
      </w:pPr>
      <w:r>
        <w:t xml:space="preserve">Properties of the VRF:</w:t>
      </w:r>
    </w:p>
    <w:p>
      <w:pPr>
        <w:numPr>
          <w:ilvl w:val="0"/>
          <w:numId w:val="1003"/>
        </w:numPr>
        <w:pStyle w:val="Compact"/>
      </w:pPr>
      <w:r>
        <w:rPr>
          <w:bCs/>
          <w:b/>
        </w:rPr>
        <w:t xml:space="preserve">Pseudorandomness:</w:t>
      </w:r>
      <w:r>
        <w:t xml:space="preserve"> </w:t>
      </w:r>
      <w:r>
        <w:t xml:space="preserve">Without (sk_i), the output appears random. Even with knowledge of other outputs, predicting (r_i) is computationally infeasible.</w:t>
      </w:r>
    </w:p>
    <w:p>
      <w:pPr>
        <w:numPr>
          <w:ilvl w:val="0"/>
          <w:numId w:val="1003"/>
        </w:numPr>
        <w:pStyle w:val="Compact"/>
      </w:pPr>
      <w:r>
        <w:rPr>
          <w:bCs/>
          <w:b/>
        </w:rPr>
        <w:t xml:space="preserve">Verifiability:</w:t>
      </w:r>
      <w:r>
        <w:t xml:space="preserve"> </w:t>
      </w:r>
      <w:r>
        <w:t xml:space="preserve">Anyone with validator (i)’s public key can verify that (r_i) is the correct output for the given seed using the proof (</w:t>
      </w:r>
      <w:r>
        <w:t xml:space="preserve">_i). This prevents validators from lying about their VRF results.</w:t>
      </w:r>
    </w:p>
    <w:p>
      <w:pPr>
        <w:numPr>
          <w:ilvl w:val="0"/>
          <w:numId w:val="1003"/>
        </w:numPr>
        <w:pStyle w:val="Compact"/>
      </w:pPr>
      <w:r>
        <w:rPr>
          <w:bCs/>
          <w:b/>
        </w:rPr>
        <w:t xml:space="preserve">Grinding resistance:</w:t>
      </w:r>
      <w:r>
        <w:t xml:space="preserve"> </w:t>
      </w:r>
      <w:r>
        <w:t xml:space="preserve">Because (</w:t>
      </w:r>
      <w:r>
        <w:t xml:space="preserve">_{e,r}) includes the epoch randomness beacon (S_e) and the round number, validators cannot choose alternative inputs to obtain favourable outputs.</w:t>
      </w:r>
    </w:p>
    <w:p>
      <w:pPr>
        <w:numPr>
          <w:ilvl w:val="0"/>
          <w:numId w:val="1003"/>
        </w:numPr>
        <w:pStyle w:val="Compact"/>
      </w:pPr>
      <w:r>
        <w:rPr>
          <w:bCs/>
          <w:b/>
        </w:rPr>
        <w:t xml:space="preserve">Domain separation:</w:t>
      </w:r>
      <w:r>
        <w:t xml:space="preserve"> </w:t>
      </w:r>
      <w:r>
        <w:t xml:space="preserve">Distinct domain strings (e.g.,</w:t>
      </w:r>
      <w:r>
        <w:t xml:space="preserve"> </w:t>
      </w:r>
      <w:r>
        <w:t xml:space="preserve">“</w:t>
      </w:r>
      <w:r>
        <w:t xml:space="preserve">PoSy</w:t>
      </w:r>
      <w:r>
        <w:t xml:space="preserve">”</w:t>
      </w:r>
      <w:r>
        <w:t xml:space="preserve"> </w:t>
      </w:r>
      <w:r>
        <w:t xml:space="preserve">vs. </w:t>
      </w:r>
      <w:r>
        <w:t xml:space="preserve">“</w:t>
      </w:r>
      <w:r>
        <w:t xml:space="preserve">SXCP</w:t>
      </w:r>
      <w:r>
        <w:t xml:space="preserve">”</w:t>
      </w:r>
      <w:r>
        <w:t xml:space="preserve">) ensure outputs for consensus and cross‑chain selection are uncorrelated.</w:t>
      </w:r>
    </w:p>
    <w:bookmarkEnd w:id="21"/>
    <w:bookmarkStart w:id="23" w:name="leader-selection-algorithm"/>
    <w:p>
      <w:pPr>
        <w:pStyle w:val="Heading2"/>
      </w:pPr>
      <w:r>
        <w:t xml:space="preserve">6.3 Leader Selection Algorithm</w:t>
      </w:r>
    </w:p>
    <w:p>
      <w:pPr>
        <w:pStyle w:val="FirstParagraph"/>
      </w:pPr>
      <w:r>
        <w:t xml:space="preserve">Leader selection aims to choose one validator per round with probability proportional to their weight, adjusted by diversity penalties, while remaining unpredictable. The algorithm proceeds as follows:</w:t>
      </w:r>
    </w:p>
    <w:p>
      <w:pPr>
        <w:numPr>
          <w:ilvl w:val="0"/>
          <w:numId w:val="1004"/>
        </w:numPr>
      </w:pPr>
      <w:r>
        <w:rPr>
          <w:bCs/>
          <w:b/>
        </w:rPr>
        <w:t xml:space="preserve">Compute VRF outputs:</w:t>
      </w:r>
      <w:r>
        <w:t xml:space="preserve"> </w:t>
      </w:r>
      <w:r>
        <w:t xml:space="preserve">Each active validator computes ((r_i,</w:t>
      </w:r>
      <w:r>
        <w:t xml:space="preserve"> </w:t>
      </w:r>
      <w:r>
        <w:rPr>
          <w:iCs/>
          <w:i/>
        </w:rPr>
        <w:t xml:space="preserve">i) =</w:t>
      </w:r>
      <w:r>
        <w:rPr>
          <w:iCs/>
          <w:i/>
        </w:rPr>
        <w:t xml:space="preserve"> </w:t>
      </w:r>
      <w:r>
        <w:t xml:space="preserve">{sk_i}(</w:t>
      </w:r>
      <w:r>
        <w:t xml:space="preserve">_{e,r}</w:t>
      </w:r>
      <w:r>
        <w:t xml:space="preserve">)).</w:t>
      </w:r>
    </w:p>
    <w:p>
      <w:pPr>
        <w:numPr>
          <w:ilvl w:val="0"/>
          <w:numId w:val="1004"/>
        </w:numPr>
      </w:pPr>
      <w:r>
        <w:rPr>
          <w:bCs/>
          <w:b/>
        </w:rPr>
        <w:t xml:space="preserve">Calculate weighted scores:</w:t>
      </w:r>
      <w:r>
        <w:t xml:space="preserve"> </w:t>
      </w:r>
      <w:r>
        <w:t xml:space="preserve">For each validator (i), compute a</w:t>
      </w:r>
      <w:r>
        <w:t xml:space="preserve"> </w:t>
      </w:r>
      <w:r>
        <w:rPr>
          <w:bCs/>
          <w:b/>
        </w:rPr>
        <w:t xml:space="preserve">score</w:t>
      </w:r>
    </w:p>
    <w:p>
      <w:pPr>
        <w:numPr>
          <w:ilvl w:val="0"/>
          <w:numId w:val="1000"/>
        </w:numPr>
      </w:pPr>
      <w:r>
        <w:t xml:space="preserve">[</w:t>
      </w:r>
      <w:r>
        <w:t xml:space="preserve"> </w:t>
      </w:r>
      <w:r>
        <w:t xml:space="preserve">_i =</w:t>
      </w:r>
      <w:r>
        <w:t xml:space="preserve"> </w:t>
      </w:r>
      <w:r>
        <w:t xml:space="preserve">,</w:t>
      </w:r>
      <w:r>
        <w:t xml:space="preserve"> </w:t>
      </w:r>
      <w:r>
        <w:t xml:space="preserve">]</w:t>
      </w:r>
    </w:p>
    <w:p>
      <w:pPr>
        <w:numPr>
          <w:ilvl w:val="0"/>
          <w:numId w:val="1000"/>
        </w:numPr>
      </w:pPr>
      <w:r>
        <w:t xml:space="preserve">where (</w:t>
      </w:r>
      <w:r>
        <w:t xml:space="preserve">_i) is the diversity‑corrected weight from Eq. 4 (§5).</w:t>
      </w:r>
    </w:p>
    <w:p>
      <w:pPr>
        <w:numPr>
          <w:ilvl w:val="0"/>
          <w:numId w:val="1004"/>
        </w:numPr>
      </w:pPr>
      <w:r>
        <w:rPr>
          <w:bCs/>
          <w:b/>
        </w:rPr>
        <w:t xml:space="preserve">Select minimum:</w:t>
      </w:r>
      <w:r>
        <w:t xml:space="preserve"> </w:t>
      </w:r>
      <w:r>
        <w:t xml:space="preserve">The validator with the lowest score becomes leader (L_r). Ties are broken by the lowest index.</w:t>
      </w:r>
    </w:p>
    <w:p>
      <w:pPr>
        <w:numPr>
          <w:ilvl w:val="0"/>
          <w:numId w:val="1004"/>
        </w:numPr>
      </w:pPr>
      <w:r>
        <w:rPr>
          <w:bCs/>
          <w:b/>
        </w:rPr>
        <w:t xml:space="preserve">Publish proof:</w:t>
      </w:r>
      <w:r>
        <w:t xml:space="preserve"> </w:t>
      </w:r>
      <w:r>
        <w:t xml:space="preserve">The leader includes ((r_i,</w:t>
      </w:r>
      <w:r>
        <w:t xml:space="preserve"> </w:t>
      </w:r>
      <w:r>
        <w:t xml:space="preserve">_i)) in the PREPARE message so that others can verify their selection.</w:t>
      </w:r>
    </w:p>
    <w:p>
      <w:pPr>
        <w:pStyle w:val="FirstParagraph"/>
      </w:pPr>
      <w:r>
        <w:t xml:space="preserve">Because dividing by (</w:t>
      </w:r>
      <w:r>
        <w:t xml:space="preserve">_i) means that larger weights reduce the score, higher‑weight validators are more likely to be selected. The hash prevents VRF outputs from being compared across validators; this protects against grinding attacks where a validator might reveal their output only if favourable.</w:t>
      </w:r>
    </w:p>
    <w:bookmarkStart w:id="22" w:name="complaint-and-recovery"/>
    <w:p>
      <w:pPr>
        <w:pStyle w:val="Heading3"/>
      </w:pPr>
      <w:r>
        <w:t xml:space="preserve">Complaint and Recovery</w:t>
      </w:r>
    </w:p>
    <w:p>
      <w:pPr>
        <w:pStyle w:val="FirstParagraph"/>
      </w:pPr>
      <w:r>
        <w:t xml:space="preserve">If the selected leader fails to propose a block within the allotted time, committee members broadcast a TIMEOUT complaint with the highest QC they know. A new round starts with an increased timeout (§10). Because the epoch randomness beacon does not change, the leader selection algorithm runs again on the same seed, producing the same ordering of potential leaders. However, diversity penalties and random sampling of committees ensure that the next chosen leader is likely different, mitigating targeted attacks.</w:t>
      </w:r>
    </w:p>
    <w:bookmarkEnd w:id="22"/>
    <w:bookmarkEnd w:id="23"/>
    <w:bookmarkStart w:id="24" w:name="committee-selection-algorithm"/>
    <w:p>
      <w:pPr>
        <w:pStyle w:val="Heading2"/>
      </w:pPr>
      <w:r>
        <w:t xml:space="preserve">6.4 Committee Selection Algorithm</w:t>
      </w:r>
    </w:p>
    <w:p>
      <w:pPr>
        <w:pStyle w:val="FirstParagraph"/>
      </w:pPr>
      <w:r>
        <w:t xml:space="preserve">Committees must be sampled fairly and without replacement from the validator set to ensure balanced representation. The algorithm uses a variant of</w:t>
      </w:r>
      <w:r>
        <w:t xml:space="preserve"> </w:t>
      </w:r>
      <w:r>
        <w:rPr>
          <w:bCs/>
          <w:b/>
        </w:rPr>
        <w:t xml:space="preserve">weighted reservoir sampling</w:t>
      </w:r>
      <w:r>
        <w:t xml:space="preserve">:</w:t>
      </w:r>
    </w:p>
    <w:p>
      <w:pPr>
        <w:numPr>
          <w:ilvl w:val="0"/>
          <w:numId w:val="1005"/>
        </w:numPr>
      </w:pPr>
      <w:r>
        <w:rPr>
          <w:bCs/>
          <w:b/>
        </w:rPr>
        <w:t xml:space="preserve">Compute VRF outputs:</w:t>
      </w:r>
      <w:r>
        <w:t xml:space="preserve"> </w:t>
      </w:r>
      <w:r>
        <w:t xml:space="preserve">Each validator computes (r_i) and (</w:t>
      </w:r>
      <w:r>
        <w:rPr>
          <w:iCs/>
          <w:i/>
        </w:rPr>
        <w:t xml:space="preserve">i) on (</w:t>
      </w:r>
      <w:r>
        <w:t xml:space="preserve">{e,r}</w:t>
      </w:r>
      <w:r>
        <w:t xml:space="preserve">).</w:t>
      </w:r>
    </w:p>
    <w:p>
      <w:pPr>
        <w:numPr>
          <w:ilvl w:val="0"/>
          <w:numId w:val="1005"/>
        </w:numPr>
      </w:pPr>
      <w:r>
        <w:rPr>
          <w:bCs/>
          <w:b/>
        </w:rPr>
        <w:t xml:space="preserve">Compute selection scores:</w:t>
      </w:r>
      <w:r>
        <w:t xml:space="preserve"> </w:t>
      </w:r>
      <w:r>
        <w:t xml:space="preserve">Define</w:t>
      </w:r>
    </w:p>
    <w:p>
      <w:pPr>
        <w:numPr>
          <w:ilvl w:val="0"/>
          <w:numId w:val="1000"/>
        </w:numPr>
      </w:pPr>
      <w:r>
        <w:t xml:space="preserve">[</w:t>
      </w:r>
      <w:r>
        <w:t xml:space="preserve"> </w:t>
      </w:r>
      <w:r>
        <w:t xml:space="preserve">s_i =</w:t>
      </w:r>
      <w:r>
        <w:t xml:space="preserve"> </w:t>
      </w:r>
      <w:r>
        <w:t xml:space="preserve">.</w:t>
      </w:r>
      <w:r>
        <w:t xml:space="preserve"> </w:t>
      </w:r>
      <w:r>
        <w:t xml:space="preserve">]</w:t>
      </w:r>
    </w:p>
    <w:p>
      <w:pPr>
        <w:numPr>
          <w:ilvl w:val="0"/>
          <w:numId w:val="1005"/>
        </w:numPr>
      </w:pPr>
      <w:r>
        <w:rPr>
          <w:bCs/>
          <w:b/>
        </w:rPr>
        <w:t xml:space="preserve">Sort and pick:</w:t>
      </w:r>
      <w:r>
        <w:t xml:space="preserve"> </w:t>
      </w:r>
      <w:r>
        <w:t xml:space="preserve">Sort validators by ascending (s_i). Select the first (c) validators where (c) is the target committee size. Include their VRF proofs in the block header for auditability.</w:t>
      </w:r>
    </w:p>
    <w:p>
      <w:pPr>
        <w:numPr>
          <w:ilvl w:val="0"/>
          <w:numId w:val="1005"/>
        </w:numPr>
      </w:pPr>
      <w:r>
        <w:rPr>
          <w:bCs/>
          <w:b/>
        </w:rPr>
        <w:t xml:space="preserve">Apply cooldown:</w:t>
      </w:r>
      <w:r>
        <w:t xml:space="preserve"> </w:t>
      </w:r>
      <w:r>
        <w:t xml:space="preserve">Validators selected in the previous (w) rounds (cool‑down window) are deprioritised by multiplying their scores by (1 +</w:t>
      </w:r>
      <w:r>
        <w:t xml:space="preserve"> </w:t>
      </w:r>
      <w:r>
        <w:t xml:space="preserve">) for each recent appearance. This implements the cool‑down window (w) and diversity penalty (</w:t>
      </w:r>
      <w:r>
        <w:t xml:space="preserve">) defined in §2.4 and §5.4.</w:t>
      </w:r>
    </w:p>
    <w:p>
      <w:pPr>
        <w:pStyle w:val="FirstParagraph"/>
      </w:pPr>
      <w:r>
        <w:t xml:space="preserve">This algorithm ensures that the expected fraction of committee weight controlled by each validator is proportional to their corrected weight, while randomness and diversity penalties discourage repeated co‑selection. Because scores are deterministically derived from VRF outputs and weights, any observer can recompute the committee and verify correctness.</w:t>
      </w:r>
    </w:p>
    <w:bookmarkEnd w:id="24"/>
    <w:bookmarkStart w:id="25" w:name="diversity-penalty-application"/>
    <w:p>
      <w:pPr>
        <w:pStyle w:val="Heading2"/>
      </w:pPr>
      <w:r>
        <w:t xml:space="preserve">6.5 Diversity Penalty Application</w:t>
      </w:r>
    </w:p>
    <w:p>
      <w:pPr>
        <w:pStyle w:val="FirstParagraph"/>
      </w:pPr>
      <w:r>
        <w:t xml:space="preserve">Diversity penalties penalise validators that frequently co‑appear in committees. The diversity multiplier (d_i) (Eq. 4) reduces a validator’s effective weight when their co‑committee frequency (p_i) exceeds the expected baseline (p_0). The algorithm maintains a sliding window of the last (u) rounds and counts how often each validator appears with each cohort. At the start of each round, (p_i) is updated and (d_i =</w:t>
      </w:r>
      <w:r>
        <w:t xml:space="preserve"> </w:t>
      </w:r>
      <w:r>
        <w:t xml:space="preserve">(-</w:t>
      </w:r>
      <w:r>
        <w:t xml:space="preserve">(p_i - p_0))) is computed. This value is used in weight normalisation and selection. When a validator is not selected for (u) rounds, (p_i) resets to (p_0), restoring their weight. Diversity penalties thus encourage mixing and reduce the risk of cartel formation.</w:t>
      </w:r>
    </w:p>
    <w:bookmarkEnd w:id="25"/>
    <w:bookmarkStart w:id="26" w:name="operator-cohort-definition"/>
    <w:p>
      <w:pPr>
        <w:pStyle w:val="Heading2"/>
      </w:pPr>
      <w:r>
        <w:t xml:space="preserve">6.6 Operator Cohort Definition</w:t>
      </w:r>
    </w:p>
    <w:p>
      <w:pPr>
        <w:pStyle w:val="FirstParagraph"/>
      </w:pPr>
      <w:r>
        <w:t xml:space="preserve">Synergy recognises that validators may be operated by the same entity or infrastructure provider (</w:t>
      </w:r>
      <w:r>
        <w:t xml:space="preserve">“</w:t>
      </w:r>
      <w:r>
        <w:t xml:space="preserve">cohort</w:t>
      </w:r>
      <w:r>
        <w:t xml:space="preserve">”</w:t>
      </w:r>
      <w:r>
        <w:t xml:space="preserve">). To prevent a single operator from accumulating disproportionate influence,</w:t>
      </w:r>
      <w:r>
        <w:t xml:space="preserve"> </w:t>
      </w:r>
      <w:r>
        <w:rPr>
          <w:bCs/>
          <w:b/>
        </w:rPr>
        <w:t xml:space="preserve">operator cohorts</w:t>
      </w:r>
      <w:r>
        <w:t xml:space="preserve"> </w:t>
      </w:r>
      <w:r>
        <w:t xml:space="preserve">are identified via UMA metadata (§25). Each validator declares an operator ID (</w:t>
      </w:r>
      <w:r>
        <w:t xml:space="preserve">_i) when registering. The diversity penalty uses cohort identifiers to track co‑committee frequencies. If two validators share the same operator ID, they are considered co‑operated even if their addresses differ. Governance can require operators to prove independence via audits or attestations. Cohort definitions can also incorporate geography, ASN or organisational information to enhance decentralisation.</w:t>
      </w:r>
    </w:p>
    <w:bookmarkEnd w:id="26"/>
    <w:bookmarkStart w:id="27" w:name="worked-selection-example"/>
    <w:p>
      <w:pPr>
        <w:pStyle w:val="Heading2"/>
      </w:pPr>
      <w:r>
        <w:t xml:space="preserve">6.7 Worked Selection Example</w:t>
      </w:r>
    </w:p>
    <w:p>
      <w:pPr>
        <w:pStyle w:val="FirstParagraph"/>
      </w:pPr>
      <w:r>
        <w:t xml:space="preserve">Consider the example from §5.1 with three validators Alice, Bob and Carol. Suppose their diversity‑corrected weights are (</w:t>
      </w:r>
      <w:r>
        <w:rPr>
          <w:iCs/>
          <w:i/>
        </w:rPr>
        <w:t xml:space="preserve">{</w:t>
      </w:r>
      <w:r>
        <w:rPr>
          <w:iCs/>
          <w:i/>
        </w:rPr>
        <w:t xml:space="preserve">}=0.36), (</w:t>
      </w:r>
      <w:r>
        <w:t xml:space="preserve">{</w:t>
      </w:r>
      <w:r>
        <w:t xml:space="preserve">}=0.24), (</w:t>
      </w:r>
      <w:r>
        <w:t xml:space="preserve">_{</w:t>
      </w:r>
      <w:r>
        <w:t xml:space="preserve">}=0.40). For a round seed</w:t>
      </w:r>
      <w:r>
        <w:t xml:space="preserve"> </w:t>
      </w:r>
      <w:r>
        <w:t xml:space="preserve">“</w:t>
      </w:r>
      <w:r>
        <w:t xml:space="preserve">PoSy–leader–123</w:t>
      </w:r>
      <w:r>
        <w:t xml:space="preserve">”</w:t>
      </w:r>
      <w:r>
        <w:t xml:space="preserve">, their VRF outputs hash to: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Validator</w:t>
            </w:r>
          </w:p>
        </w:tc>
        <w:tc>
          <w:tcPr/>
          <w:p>
            <w:pPr>
              <w:pStyle w:val="Compact"/>
              <w:jc w:val="left"/>
            </w:pPr>
            <w:r>
              <w:t xml:space="preserve">Hash(VRF output)</w:t>
            </w:r>
          </w:p>
        </w:tc>
        <w:tc>
          <w:tcPr/>
          <w:p>
            <w:pPr>
              <w:pStyle w:val="Compact"/>
              <w:jc w:val="left"/>
            </w:pPr>
            <w:r>
              <w:t xml:space="preserve">Score = Hash / (</w:t>
            </w:r>
            <w:r>
              <w:t xml:space="preserve">_i)</w:t>
            </w:r>
          </w:p>
        </w:tc>
      </w:tr>
      <w:tr>
        <w:tc>
          <w:tcPr/>
          <w:p>
            <w:pPr>
              <w:pStyle w:val="Compact"/>
              <w:jc w:val="left"/>
            </w:pPr>
            <w:r>
              <w:t xml:space="preserve">Alice</w:t>
            </w:r>
          </w:p>
        </w:tc>
        <w:tc>
          <w:tcPr/>
          <w:p>
            <w:pPr>
              <w:pStyle w:val="Compact"/>
              <w:jc w:val="left"/>
            </w:pPr>
            <w:r>
              <w:t xml:space="preserve">0.25</w:t>
            </w:r>
          </w:p>
        </w:tc>
        <w:tc>
          <w:tcPr/>
          <w:p>
            <w:pPr>
              <w:pStyle w:val="Compact"/>
              <w:jc w:val="left"/>
            </w:pPr>
            <w:r>
              <w:t xml:space="preserve">0.25 / 0.36 ≈ 0.694</w:t>
            </w:r>
          </w:p>
        </w:tc>
      </w:tr>
      <w:tr>
        <w:tc>
          <w:tcPr/>
          <w:p>
            <w:pPr>
              <w:pStyle w:val="Compact"/>
              <w:jc w:val="left"/>
            </w:pPr>
            <w:r>
              <w:t xml:space="preserve">Bob</w:t>
            </w:r>
          </w:p>
        </w:tc>
        <w:tc>
          <w:tcPr/>
          <w:p>
            <w:pPr>
              <w:pStyle w:val="Compact"/>
              <w:jc w:val="left"/>
            </w:pPr>
            <w:r>
              <w:t xml:space="preserve">0.80</w:t>
            </w:r>
          </w:p>
        </w:tc>
        <w:tc>
          <w:tcPr/>
          <w:p>
            <w:pPr>
              <w:pStyle w:val="Compact"/>
              <w:jc w:val="left"/>
            </w:pPr>
            <w:r>
              <w:t xml:space="preserve">0.80 / 0.24 ≈ 3.333</w:t>
            </w:r>
          </w:p>
        </w:tc>
      </w:tr>
      <w:tr>
        <w:tc>
          <w:tcPr/>
          <w:p>
            <w:pPr>
              <w:pStyle w:val="Compact"/>
              <w:jc w:val="left"/>
            </w:pPr>
            <w:r>
              <w:t xml:space="preserve">Carol</w:t>
            </w:r>
          </w:p>
        </w:tc>
        <w:tc>
          <w:tcPr/>
          <w:p>
            <w:pPr>
              <w:pStyle w:val="Compact"/>
              <w:jc w:val="left"/>
            </w:pPr>
            <w:r>
              <w:t xml:space="preserve">0.10</w:t>
            </w:r>
          </w:p>
        </w:tc>
        <w:tc>
          <w:tcPr/>
          <w:p>
            <w:pPr>
              <w:pStyle w:val="Compact"/>
              <w:jc w:val="left"/>
            </w:pPr>
            <w:r>
              <w:t xml:space="preserve">0.10 / 0.40 = 0.25</w:t>
            </w:r>
          </w:p>
        </w:tc>
      </w:tr>
    </w:tbl>
    <w:p>
      <w:pPr>
        <w:pStyle w:val="BodyText"/>
      </w:pPr>
      <w:r>
        <w:t xml:space="preserve">Carol has the lowest score and is therefore selected as leader. Her VRF proof is included in the PREPARE message, allowing anyone to verify that 0.10 is indeed her VRF output for the seed and that her weight was correctly used in the score calculation. If Carol fails to propose within the timeout, the next lowest scorer (Alice) becomes leader in the view change.</w:t>
      </w:r>
    </w:p>
    <w:p>
      <w:pPr>
        <w:pStyle w:val="BodyText"/>
      </w:pPr>
      <w:r>
        <w:t xml:space="preserve">For committee sampling with target size (c=2), the algorithm sorts scores ascending and picks Carol and Alice. Bob waits until the next round. Diversity penalties ensure that the same pair is unlikely to be selected repeatedly; if Carol and Alice were selected in the previous round, their scores would be multiplied by ((1+</w:t>
      </w:r>
      <w:r>
        <w:t xml:space="preserve">)), giving Bob a higher chance in this round.</w:t>
      </w:r>
    </w:p>
    <w:bookmarkEnd w:id="27"/>
    <w:bookmarkStart w:id="28" w:name="signer-committee-selection-for-sxcp"/>
    <w:p>
      <w:pPr>
        <w:pStyle w:val="Heading2"/>
      </w:pPr>
      <w:r>
        <w:t xml:space="preserve">6.8 Signer Committee Selection for SXCP</w:t>
      </w:r>
    </w:p>
    <w:p>
      <w:pPr>
        <w:pStyle w:val="FirstParagraph"/>
      </w:pPr>
      <w:r>
        <w:t xml:space="preserve">SXCP relayer committees are sampled separately from consensus committees because they have distinct functions and collateral requirements. The process is similar but applied at epoch boundaries:</w:t>
      </w:r>
    </w:p>
    <w:p>
      <w:pPr>
        <w:numPr>
          <w:ilvl w:val="0"/>
          <w:numId w:val="1006"/>
        </w:numPr>
      </w:pPr>
      <w:r>
        <w:rPr>
          <w:bCs/>
          <w:b/>
        </w:rPr>
        <w:t xml:space="preserve">Eligible set:</w:t>
      </w:r>
      <w:r>
        <w:t xml:space="preserve"> </w:t>
      </w:r>
      <w:r>
        <w:t xml:space="preserve">Determine the set of active relayer validators (</w:t>
      </w:r>
      <w:r>
        <w:t xml:space="preserve">) for chain (C_i). Each relayer declares which chains they support and posts the required bond (</w:t>
      </w:r>
      <w:r>
        <w:t xml:space="preserve">_{</w:t>
      </w:r>
      <w:r>
        <w:t xml:space="preserve">}) (§2.10).</w:t>
      </w:r>
    </w:p>
    <w:p>
      <w:pPr>
        <w:numPr>
          <w:ilvl w:val="0"/>
          <w:numId w:val="1006"/>
        </w:numPr>
      </w:pPr>
      <w:r>
        <w:rPr>
          <w:bCs/>
          <w:b/>
        </w:rPr>
        <w:t xml:space="preserve">Compute VRF outputs:</w:t>
      </w:r>
      <w:r>
        <w:t xml:space="preserve"> </w:t>
      </w:r>
      <w:r>
        <w:t xml:space="preserve">For each relayer (j), compute ((r_j,</w:t>
      </w:r>
      <w:r>
        <w:t xml:space="preserve"> </w:t>
      </w:r>
      <w:r>
        <w:rPr>
          <w:iCs/>
          <w:i/>
        </w:rPr>
        <w:t xml:space="preserve">j) =</w:t>
      </w:r>
      <w:r>
        <w:rPr>
          <w:iCs/>
          <w:i/>
        </w:rPr>
        <w:t xml:space="preserve"> </w:t>
      </w:r>
      <w:r>
        <w:t xml:space="preserve">{sk_j}(S_e</w:t>
      </w:r>
      <w:r>
        <w:t xml:space="preserve"> </w:t>
      </w:r>
      <w:r>
        <w:t xml:space="preserve"> </w:t>
      </w:r>
      <w:r>
        <w:t xml:space="preserve">C_i)).</w:t>
      </w:r>
    </w:p>
    <w:p>
      <w:pPr>
        <w:numPr>
          <w:ilvl w:val="0"/>
          <w:numId w:val="1006"/>
        </w:numPr>
      </w:pPr>
      <w:r>
        <w:rPr>
          <w:bCs/>
          <w:b/>
        </w:rPr>
        <w:t xml:space="preserve">Calculate selection scores:</w:t>
      </w:r>
      <w:r>
        <w:t xml:space="preserve"> </w:t>
      </w:r>
      <w:r>
        <w:t xml:space="preserve">Define</w:t>
      </w:r>
    </w:p>
    <w:p>
      <w:pPr>
        <w:numPr>
          <w:ilvl w:val="0"/>
          <w:numId w:val="1000"/>
        </w:numPr>
      </w:pPr>
      <w:r>
        <w:t xml:space="preserve">[</w:t>
      </w:r>
      <w:r>
        <w:t xml:space="preserve"> </w:t>
      </w:r>
      <w:r>
        <w:t xml:space="preserve">s_j =</w:t>
      </w:r>
      <w:r>
        <w:t xml:space="preserve"> </w:t>
      </w:r>
      <w:r>
        <w:t xml:space="preserve">,</w:t>
      </w:r>
      <w:r>
        <w:t xml:space="preserve"> </w:t>
      </w:r>
      <w:r>
        <w:t xml:space="preserve">]</w:t>
      </w:r>
    </w:p>
    <w:p>
      <w:pPr>
        <w:numPr>
          <w:ilvl w:val="0"/>
          <w:numId w:val="1000"/>
        </w:numPr>
      </w:pPr>
      <w:r>
        <w:t xml:space="preserve">where (</w:t>
      </w:r>
      <w:r>
        <w:t xml:space="preserve">_j) is the relayer weight factor reflecting their stake, reputation and prior relayer performance.</w:t>
      </w:r>
    </w:p>
    <w:p>
      <w:pPr>
        <w:numPr>
          <w:ilvl w:val="0"/>
          <w:numId w:val="1006"/>
        </w:numPr>
      </w:pPr>
      <w:r>
        <w:rPr>
          <w:bCs/>
          <w:b/>
        </w:rPr>
        <w:t xml:space="preserve">Select committee:</w:t>
      </w:r>
      <w:r>
        <w:t xml:space="preserve"> </w:t>
      </w:r>
      <w:r>
        <w:t xml:space="preserve">Sort relayers by (s_j) and select the first (k) relayers as the signer committee. The remaining relayers act as watchers and can submit misbehaviour proofs. Diversity penalties are optional for relayer selection but may be enforced if centralisation risks arise.</w:t>
      </w:r>
    </w:p>
    <w:p>
      <w:pPr>
        <w:numPr>
          <w:ilvl w:val="0"/>
          <w:numId w:val="1006"/>
        </w:numPr>
      </w:pPr>
      <w:r>
        <w:rPr>
          <w:bCs/>
          <w:b/>
        </w:rPr>
        <w:t xml:space="preserve">Publish proofs:</w:t>
      </w:r>
      <w:r>
        <w:t xml:space="preserve"> </w:t>
      </w:r>
      <w:r>
        <w:t xml:space="preserve">The list of selected relayers, their VRF proofs and aggregated weights are included in the epoch checkpoint. Anyone can verify the committee composition.</w:t>
      </w:r>
    </w:p>
    <w:p>
      <w:pPr>
        <w:pStyle w:val="FirstParagraph"/>
      </w:pPr>
      <w:r>
        <w:t xml:space="preserve">Relayer committees remain in place for the entire epoch. They generate threshold signatures for cross‑chain proofs and randomness beacons (§1.6). If a relayer committee fails to perform (e.g., does not produce signatures within time limits), the consensus layer may rotate the committee mid‑epoch via governance action (§24). Relayers misbehaving or failing to sign are slashed (§9).</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2025-10-17T06:40:16Z</dcterms:created>
  <dcterms:modified xsi:type="dcterms:W3CDTF">2025-10-17T06:40:16Z</dcterms:modified>
</cp:coreProperties>
</file>

<file path=docProps/custom.xml><?xml version="1.0" encoding="utf-8"?>
<Properties xmlns="http://schemas.openxmlformats.org/officeDocument/2006/custom-properties" xmlns:vt="http://schemas.openxmlformats.org/officeDocument/2006/docPropsVTypes"/>
</file>