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Token Migration Guide</w:t>
      </w:r>
    </w:p>
    <w:p>
      <w:pPr>
        <w:spacing w:before="0" w:after="480"/>
        <w:jc w:val="center"/>
      </w:pPr>
      <w:r>
        <w:rPr>
          <w:rFonts w:ascii="Arial" w:cs="Arial" w:eastAsia="Arial" w:hAnsi="Arial"/>
          <w:color w:val="0060FF"/>
          <w:sz w:val="32"/>
          <w:szCs w:val="32"/>
        </w:rPr>
        <w:t xml:space="preserve">Testnet → Mainnet</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Introduction</w:t>
      </w:r>
    </w:p>
    <w:p>
      <w:pPr>
        <w:pStyle w:val="Normal"/>
      </w:pPr>
      <w:r>
        <w:rPr>
          <w:rFonts w:ascii="Arial" w:cs="Arial" w:eastAsia="Arial" w:hAnsi="Arial"/>
        </w:rPr>
        <w:t xml:space="preserve">This document provides a step-by-step guide for migrating Synergy Token (SYN) assets from the Synergy Testnet environment to the Mainnet. This process ensures secure and accurate mapping of user balances, validator stakes, and smart contract states during network upgrade phases.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Migration Phases</w:t>
      </w:r>
    </w:p>
    <w:p>
      <w:pPr>
        <w:pStyle w:val="Heading2"/>
      </w:pPr>
      <w:r>
        <w:rPr>
          <w:rFonts w:ascii="Arial" w:cs="Arial" w:eastAsia="Arial" w:hAnsi="Arial"/>
        </w:rPr>
        <w:t xml:space="preserve">Phase 1: Snapshot Finalization</w:t>
      </w:r>
    </w:p>
    <w:p>
      <w:pPr>
        <w:pStyle w:val="ListParagraph"/>
        <w:numPr>
          <w:ilvl w:val="0"/>
          <w:numId w:val="2"/>
        </w:numPr>
      </w:pPr>
      <w:r>
        <w:rPr>
          <w:rFonts w:ascii="Arial" w:cs="Arial" w:eastAsia="Arial" w:hAnsi="Arial"/>
          <w:sz w:val="22"/>
          <w:szCs w:val="22"/>
        </w:rPr>
        <w:t xml:space="preserve">Final Testnet block height is announced.</w:t>
      </w:r>
    </w:p>
    <w:p>
      <w:pPr>
        <w:pStyle w:val="ListParagraph"/>
        <w:numPr>
          <w:ilvl w:val="0"/>
          <w:numId w:val="2"/>
        </w:numPr>
      </w:pPr>
      <w:r>
        <w:rPr>
          <w:rFonts w:ascii="Arial" w:cs="Arial" w:eastAsia="Arial" w:hAnsi="Arial"/>
          <w:sz w:val="22"/>
          <w:szCs w:val="22"/>
        </w:rPr>
        <w:t xml:space="preserve">Snapshot of all token balances, staking states, SNS names, and UMA addresses is taken.</w:t>
      </w:r>
    </w:p>
    <w:p>
      <w:pPr>
        <w:pStyle w:val="ListParagraph"/>
        <w:numPr>
          <w:ilvl w:val="0"/>
          <w:numId w:val="2"/>
        </w:numPr>
      </w:pPr>
      <w:r>
        <w:rPr>
          <w:rFonts w:ascii="Arial" w:cs="Arial" w:eastAsia="Arial" w:hAnsi="Arial"/>
          <w:sz w:val="22"/>
          <w:szCs w:val="22"/>
        </w:rPr>
        <w:t xml:space="preserve">The snapshot hash is published and verified by validators.</w:t>
      </w:r>
    </w:p>
    <w:p>
      <w:pPr>
        <w:spacing w:after="80"/>
      </w:pPr>
      <w:r>
        <w:t xml:space="preserve"/>
      </w:r>
    </w:p>
    <w:p>
      <w:pPr>
        <w:pStyle w:val="Heading2"/>
      </w:pPr>
      <w:r>
        <w:rPr>
          <w:rFonts w:ascii="Arial" w:cs="Arial" w:eastAsia="Arial" w:hAnsi="Arial"/>
        </w:rPr>
        <w:t xml:space="preserve">Phase 2: Smart Contract Deployment on Mainnet</w:t>
      </w:r>
    </w:p>
    <w:p>
      <w:pPr>
        <w:pStyle w:val="ListParagraph"/>
        <w:numPr>
          <w:ilvl w:val="0"/>
          <w:numId w:val="2"/>
        </w:numPr>
      </w:pPr>
      <w:r>
        <w:rPr>
          <w:rFonts w:ascii="Arial" w:cs="Arial" w:eastAsia="Arial" w:hAnsi="Arial"/>
          <w:sz w:val="22"/>
          <w:szCs w:val="22"/>
        </w:rPr>
        <w:t xml:space="preserve">Migration contract is deployed on Mainnet.</w:t>
      </w:r>
    </w:p>
    <w:p>
      <w:pPr>
        <w:pStyle w:val="ListParagraph"/>
        <w:numPr>
          <w:ilvl w:val="0"/>
          <w:numId w:val="2"/>
        </w:numPr>
      </w:pPr>
      <w:r>
        <w:rPr>
          <w:rFonts w:ascii="Arial" w:cs="Arial" w:eastAsia="Arial" w:hAnsi="Arial"/>
          <w:sz w:val="22"/>
          <w:szCs w:val="22"/>
        </w:rPr>
        <w:t xml:space="preserve">Verifiable Merkle Root of snapshot data is embedded in the migration contract.</w:t>
      </w:r>
    </w:p>
    <w:p>
      <w:pPr>
        <w:pStyle w:val="ListParagraph"/>
        <w:numPr>
          <w:ilvl w:val="0"/>
          <w:numId w:val="2"/>
        </w:numPr>
      </w:pPr>
      <w:r>
        <w:rPr>
          <w:rFonts w:ascii="Arial" w:cs="Arial" w:eastAsia="Arial" w:hAnsi="Arial"/>
          <w:sz w:val="22"/>
          <w:szCs w:val="22"/>
        </w:rPr>
        <w:t xml:space="preserve">Migration UI and CLI tools are made available to users.</w:t>
      </w:r>
    </w:p>
    <w:p>
      <w:pPr>
        <w:spacing w:after="80"/>
      </w:pPr>
      <w:r>
        <w:t xml:space="preserve"/>
      </w:r>
    </w:p>
    <w:p>
      <w:pPr>
        <w:pStyle w:val="Heading2"/>
      </w:pPr>
      <w:r>
        <w:rPr>
          <w:rFonts w:ascii="Arial" w:cs="Arial" w:eastAsia="Arial" w:hAnsi="Arial"/>
        </w:rPr>
        <w:t xml:space="preserve">Phase 3: User-Initiated Migration</w:t>
      </w:r>
    </w:p>
    <w:p>
      <w:pPr>
        <w:pStyle w:val="ListParagraph"/>
        <w:numPr>
          <w:ilvl w:val="0"/>
          <w:numId w:val="2"/>
        </w:numPr>
      </w:pPr>
      <w:r>
        <w:rPr>
          <w:rFonts w:ascii="Arial" w:cs="Arial" w:eastAsia="Arial" w:hAnsi="Arial"/>
          <w:sz w:val="22"/>
          <w:szCs w:val="22"/>
        </w:rPr>
        <w:t xml:space="preserve">Users access migration portal or CLI tool.</w:t>
      </w:r>
    </w:p>
    <w:p>
      <w:pPr>
        <w:pStyle w:val="ListParagraph"/>
        <w:numPr>
          <w:ilvl w:val="0"/>
          <w:numId w:val="2"/>
        </w:numPr>
      </w:pPr>
      <w:r>
        <w:rPr>
          <w:rFonts w:ascii="Arial" w:cs="Arial" w:eastAsia="Arial" w:hAnsi="Arial"/>
          <w:sz w:val="22"/>
          <w:szCs w:val="22"/>
        </w:rPr>
        <w:t xml:space="preserve">Submit their Testnet address and receive Merkle proof.</w:t>
      </w:r>
    </w:p>
    <w:p>
      <w:pPr>
        <w:pStyle w:val="ListParagraph"/>
        <w:numPr>
          <w:ilvl w:val="0"/>
          <w:numId w:val="2"/>
        </w:numPr>
      </w:pPr>
      <w:r>
        <w:rPr>
          <w:rFonts w:ascii="Arial" w:cs="Arial" w:eastAsia="Arial" w:hAnsi="Arial"/>
          <w:sz w:val="22"/>
          <w:szCs w:val="22"/>
        </w:rPr>
        <w:t xml:space="preserve">Sign a transaction proving ownership of the Testnet address.</w:t>
      </w:r>
    </w:p>
    <w:p>
      <w:pPr>
        <w:pStyle w:val="ListParagraph"/>
        <w:numPr>
          <w:ilvl w:val="0"/>
          <w:numId w:val="2"/>
        </w:numPr>
      </w:pPr>
      <w:r>
        <w:rPr>
          <w:rFonts w:ascii="Arial" w:cs="Arial" w:eastAsia="Arial" w:hAnsi="Arial"/>
          <w:sz w:val="22"/>
          <w:szCs w:val="22"/>
        </w:rPr>
        <w:t xml:space="preserve">Claim Mainnet SYN tokens to a corresponding Mainnet wallet.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Required Tools</w:t>
      </w:r>
    </w:p>
    <w:p>
      <w:pPr>
        <w:pStyle w:val="ListParagraph"/>
        <w:numPr>
          <w:ilvl w:val="0"/>
          <w:numId w:val="2"/>
        </w:numPr>
      </w:pPr>
      <w:r>
        <w:rPr>
          <w:rFonts w:ascii="Arial" w:cs="Arial" w:eastAsia="Arial" w:hAnsi="Arial"/>
          <w:b/>
          <w:bCs/>
          <w:sz w:val="22"/>
          <w:szCs w:val="22"/>
        </w:rPr>
        <w:t xml:space="preserve">Wallet:</w:t>
      </w:r>
      <w:r>
        <w:rPr>
          <w:rFonts w:ascii="Arial" w:cs="Arial" w:eastAsia="Arial" w:hAnsi="Arial"/>
          <w:sz w:val="22"/>
          <w:szCs w:val="22"/>
        </w:rPr>
        <w:t xml:space="preserve"> MetaMask or Union Wallet (Mainnet enabled)</w:t>
      </w:r>
    </w:p>
    <w:p>
      <w:pPr>
        <w:pStyle w:val="ListParagraph"/>
        <w:numPr>
          <w:ilvl w:val="0"/>
          <w:numId w:val="2"/>
        </w:numPr>
      </w:pPr>
      <w:r>
        <w:rPr>
          <w:rFonts w:ascii="Arial" w:cs="Arial" w:eastAsia="Arial" w:hAnsi="Arial"/>
          <w:b/>
          <w:bCs/>
          <w:sz w:val="22"/>
          <w:szCs w:val="22"/>
        </w:rPr>
        <w:t xml:space="preserve">Migration Portal:</w:t>
      </w:r>
      <w:r>
        <w:rPr>
          <w:rFonts w:ascii="Arial" w:cs="Arial" w:eastAsia="Arial" w:hAnsi="Arial"/>
          <w:sz w:val="22"/>
          <w:szCs w:val="22"/>
        </w:rPr>
        <w:t xml:space="preserve"> https://migration.synergy-network.io</w:t>
      </w:r>
    </w:p>
    <w:p>
      <w:pPr>
        <w:pStyle w:val="ListParagraph"/>
        <w:numPr>
          <w:ilvl w:val="0"/>
          <w:numId w:val="2"/>
        </w:numPr>
      </w:pPr>
      <w:r>
        <w:rPr>
          <w:rFonts w:ascii="Arial" w:cs="Arial" w:eastAsia="Arial" w:hAnsi="Arial"/>
          <w:b/>
          <w:bCs/>
          <w:sz w:val="22"/>
          <w:szCs w:val="22"/>
        </w:rPr>
        <w:t xml:space="preserve">CLI Tool:</w:t>
      </w:r>
      <w:r>
        <w:rPr>
          <w:rFonts w:ascii="Arial" w:cs="Arial" w:eastAsia="Arial" w:hAnsi="Arial"/>
          <w:sz w:val="22"/>
          <w:szCs w:val="22"/>
        </w:rPr>
        <w:t xml:space="preserve"> synergy-cli migrate</w:t>
      </w:r>
    </w:p>
    <w:p>
      <w:pPr>
        <w:pStyle w:val="ListParagraph"/>
        <w:numPr>
          <w:ilvl w:val="0"/>
          <w:numId w:val="2"/>
        </w:numPr>
      </w:pPr>
      <w:r>
        <w:rPr>
          <w:rFonts w:ascii="Arial" w:cs="Arial" w:eastAsia="Arial" w:hAnsi="Arial"/>
          <w:b/>
          <w:bCs/>
          <w:sz w:val="22"/>
          <w:szCs w:val="22"/>
        </w:rPr>
        <w:t xml:space="preserve">Merkle Proof Generator:</w:t>
      </w:r>
      <w:r>
        <w:rPr>
          <w:rFonts w:ascii="Arial" w:cs="Arial" w:eastAsia="Arial" w:hAnsi="Arial"/>
          <w:sz w:val="22"/>
          <w:szCs w:val="22"/>
        </w:rPr>
        <w:t xml:space="preserve"> Bundled in CLI release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Migration Steps</w:t>
      </w:r>
    </w:p>
    <w:p>
      <w:pPr>
        <w:pStyle w:val="Heading2"/>
      </w:pPr>
      <w:r>
        <w:rPr>
          <w:rFonts w:ascii="Arial" w:cs="Arial" w:eastAsia="Arial" w:hAnsi="Arial"/>
        </w:rPr>
        <w:t xml:space="preserve">Step 1: Verify Eligibility</w:t>
      </w:r>
    </w:p>
    <w:p>
      <w:pPr>
        <w:pStyle w:val="ListParagraph"/>
        <w:numPr>
          <w:ilvl w:val="0"/>
          <w:numId w:val="2"/>
        </w:numPr>
      </w:pPr>
      <w:r>
        <w:rPr>
          <w:rFonts w:ascii="Arial" w:cs="Arial" w:eastAsia="Arial" w:hAnsi="Arial"/>
          <w:sz w:val="22"/>
          <w:szCs w:val="22"/>
        </w:rPr>
        <w:t xml:space="preserve">Go to migration portal and enter your Testnet address.</w:t>
      </w:r>
    </w:p>
    <w:p>
      <w:pPr>
        <w:pStyle w:val="ListParagraph"/>
        <w:numPr>
          <w:ilvl w:val="0"/>
          <w:numId w:val="2"/>
        </w:numPr>
      </w:pPr>
      <w:r>
        <w:rPr>
          <w:rFonts w:ascii="Arial" w:cs="Arial" w:eastAsia="Arial" w:hAnsi="Arial"/>
          <w:sz w:val="22"/>
          <w:szCs w:val="22"/>
        </w:rPr>
        <w:t xml:space="preserve">Confirm balance and claim status.</w:t>
      </w:r>
    </w:p>
    <w:p>
      <w:pPr>
        <w:spacing w:after="80"/>
      </w:pPr>
      <w:r>
        <w:t xml:space="preserve"/>
      </w:r>
    </w:p>
    <w:p>
      <w:pPr>
        <w:pStyle w:val="Heading2"/>
      </w:pPr>
      <w:r>
        <w:rPr>
          <w:rFonts w:ascii="Arial" w:cs="Arial" w:eastAsia="Arial" w:hAnsi="Arial"/>
        </w:rPr>
        <w:t xml:space="preserve">Step 2: Prepare Mainnet Wallet</w:t>
      </w:r>
    </w:p>
    <w:p>
      <w:pPr>
        <w:pStyle w:val="ListParagraph"/>
        <w:numPr>
          <w:ilvl w:val="0"/>
          <w:numId w:val="2"/>
        </w:numPr>
      </w:pPr>
      <w:r>
        <w:rPr>
          <w:rFonts w:ascii="Arial" w:cs="Arial" w:eastAsia="Arial" w:hAnsi="Arial"/>
          <w:sz w:val="22"/>
          <w:szCs w:val="22"/>
        </w:rPr>
        <w:t xml:space="preserve">Import or create a Mainnet-compatible wallet.</w:t>
      </w:r>
    </w:p>
    <w:p>
      <w:pPr>
        <w:pStyle w:val="ListParagraph"/>
        <w:numPr>
          <w:ilvl w:val="0"/>
          <w:numId w:val="2"/>
        </w:numPr>
      </w:pPr>
      <w:r>
        <w:rPr>
          <w:rFonts w:ascii="Arial" w:cs="Arial" w:eastAsia="Arial" w:hAnsi="Arial"/>
          <w:sz w:val="22"/>
          <w:szCs w:val="22"/>
        </w:rPr>
        <w:t xml:space="preserve">Ensure wallet is connected to Synergy Mainnet endpoint.</w:t>
      </w:r>
    </w:p>
    <w:p>
      <w:pPr>
        <w:spacing w:after="80"/>
      </w:pPr>
      <w:r>
        <w:t xml:space="preserve"/>
      </w:r>
    </w:p>
    <w:p>
      <w:pPr>
        <w:pStyle w:val="Heading2"/>
      </w:pPr>
      <w:r>
        <w:rPr>
          <w:rFonts w:ascii="Arial" w:cs="Arial" w:eastAsia="Arial" w:hAnsi="Arial"/>
        </w:rPr>
        <w:t xml:space="preserve">Step 3: Generate Proof of Ownership</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generate-proof --address &lt;testnet_address&gt;</w:t>
      </w:r>
    </w:p>
    <w:p>
      <w:pPr>
        <w:pStyle w:val="Normal"/>
      </w:pPr>
      <w:r>
        <w:rPr>
          <w:rFonts w:ascii="Arial" w:cs="Arial" w:eastAsia="Arial" w:hAnsi="Arial"/>
        </w:rPr>
        <w:t xml:space="preserve">Sign the resulting message with your Testnet private key.</w:t>
      </w:r>
    </w:p>
    <w:p>
      <w:pPr>
        <w:spacing w:after="80"/>
      </w:pPr>
      <w:r>
        <w:t xml:space="preserve"/>
      </w:r>
    </w:p>
    <w:p>
      <w:pPr>
        <w:pStyle w:val="Heading2"/>
      </w:pPr>
      <w:r>
        <w:rPr>
          <w:rFonts w:ascii="Arial" w:cs="Arial" w:eastAsia="Arial" w:hAnsi="Arial"/>
        </w:rPr>
        <w:t xml:space="preserve">Step 4: Submit Migration Transaction</w:t>
      </w:r>
    </w:p>
    <w:p>
      <w:pPr>
        <w:pStyle w:val="Normal"/>
      </w:pPr>
      <w:r>
        <w:rPr>
          <w:rFonts w:ascii="Arial" w:cs="Arial" w:eastAsia="Arial" w:hAnsi="Arial"/>
        </w:rPr>
        <w:t xml:space="preserve">Via Portal: Upload Merkle proof and signed message.</w:t>
      </w:r>
    </w:p>
    <w:p>
      <w:pPr>
        <w:pStyle w:val="Normal"/>
      </w:pPr>
      <w:r>
        <w:rPr>
          <w:rFonts w:ascii="Arial" w:cs="Arial" w:eastAsia="Arial" w:hAnsi="Arial"/>
        </w:rPr>
        <w:t xml:space="preserve">Via 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migrate --proof &lt;proof.json&gt; --signature &lt;sig&gt; --to &lt;mainnet_address&gt;</w:t>
      </w:r>
    </w:p>
    <w:p>
      <w:pPr>
        <w:spacing w:after="80"/>
      </w:pPr>
      <w:r>
        <w:t xml:space="preserve"/>
      </w:r>
    </w:p>
    <w:p>
      <w:pPr>
        <w:pStyle w:val="Heading2"/>
      </w:pPr>
      <w:r>
        <w:rPr>
          <w:rFonts w:ascii="Arial" w:cs="Arial" w:eastAsia="Arial" w:hAnsi="Arial"/>
        </w:rPr>
        <w:t xml:space="preserve">Step 5: Confirm Token Receipt</w:t>
      </w:r>
    </w:p>
    <w:p>
      <w:pPr>
        <w:pStyle w:val="ListParagraph"/>
        <w:numPr>
          <w:ilvl w:val="0"/>
          <w:numId w:val="2"/>
        </w:numPr>
      </w:pPr>
      <w:r>
        <w:rPr>
          <w:rFonts w:ascii="Arial" w:cs="Arial" w:eastAsia="Arial" w:hAnsi="Arial"/>
          <w:sz w:val="22"/>
          <w:szCs w:val="22"/>
        </w:rPr>
        <w:t xml:space="preserve">Verify SYN tokens in your Mainnet wallet.</w:t>
      </w:r>
    </w:p>
    <w:p>
      <w:pPr>
        <w:pStyle w:val="ListParagraph"/>
        <w:numPr>
          <w:ilvl w:val="0"/>
          <w:numId w:val="2"/>
        </w:numPr>
      </w:pPr>
      <w:r>
        <w:rPr>
          <w:rFonts w:ascii="Arial" w:cs="Arial" w:eastAsia="Arial" w:hAnsi="Arial"/>
          <w:sz w:val="22"/>
          <w:szCs w:val="22"/>
        </w:rPr>
        <w:t xml:space="preserve">Optionally track the transaction on Synergy Explorer.</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Developer Notes</w:t>
      </w:r>
    </w:p>
    <w:p>
      <w:pPr>
        <w:pStyle w:val="ListParagraph"/>
        <w:numPr>
          <w:ilvl w:val="0"/>
          <w:numId w:val="2"/>
        </w:numPr>
      </w:pPr>
      <w:r>
        <w:rPr>
          <w:rFonts w:ascii="Arial" w:cs="Arial" w:eastAsia="Arial" w:hAnsi="Arial"/>
          <w:sz w:val="22"/>
          <w:szCs w:val="22"/>
        </w:rPr>
        <w:t xml:space="preserve">The snapshot JSON and Merkle proof data structures follow the Ethereum Merkle Airdrop standard.</w:t>
      </w:r>
    </w:p>
    <w:p>
      <w:pPr>
        <w:pStyle w:val="ListParagraph"/>
        <w:numPr>
          <w:ilvl w:val="0"/>
          <w:numId w:val="2"/>
        </w:numPr>
      </w:pPr>
      <w:r>
        <w:rPr>
          <w:rFonts w:ascii="Arial" w:cs="Arial" w:eastAsia="Arial" w:hAnsi="Arial"/>
          <w:b/>
          <w:bCs/>
          <w:sz w:val="22"/>
          <w:szCs w:val="22"/>
        </w:rPr>
        <w:t xml:space="preserve">Contract Address:</w:t>
      </w:r>
      <w:r>
        <w:rPr>
          <w:rFonts w:ascii="Arial" w:cs="Arial" w:eastAsia="Arial" w:hAnsi="Arial"/>
          <w:sz w:val="22"/>
          <w:szCs w:val="22"/>
        </w:rPr>
        <w:t xml:space="preserve"> 0xSYNG-MIGRATE-MAINNET</w:t>
      </w:r>
    </w:p>
    <w:p>
      <w:pPr>
        <w:pStyle w:val="ListParagraph"/>
        <w:numPr>
          <w:ilvl w:val="0"/>
          <w:numId w:val="2"/>
        </w:numPr>
      </w:pPr>
      <w:r>
        <w:rPr>
          <w:rFonts w:ascii="Arial" w:cs="Arial" w:eastAsia="Arial" w:hAnsi="Arial"/>
          <w:b/>
          <w:bCs/>
          <w:sz w:val="22"/>
          <w:szCs w:val="22"/>
        </w:rPr>
        <w:t xml:space="preserve">Source Code:</w:t>
      </w:r>
      <w:r>
        <w:rPr>
          <w:rFonts w:ascii="Arial" w:cs="Arial" w:eastAsia="Arial" w:hAnsi="Arial"/>
          <w:sz w:val="22"/>
          <w:szCs w:val="22"/>
        </w:rPr>
        <w:t xml:space="preserve"> Audited and published in synergy-network/token-migration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Security Notes</w:t>
      </w:r>
    </w:p>
    <w:p>
      <w:pPr>
        <w:pStyle w:val="ListParagraph"/>
        <w:numPr>
          <w:ilvl w:val="0"/>
          <w:numId w:val="2"/>
        </w:numPr>
      </w:pPr>
      <w:r>
        <w:rPr>
          <w:rFonts w:ascii="Arial" w:cs="Arial" w:eastAsia="Arial" w:hAnsi="Arial"/>
          <w:sz w:val="22"/>
          <w:szCs w:val="22"/>
        </w:rPr>
        <w:t xml:space="preserve">Never share your private key.</w:t>
      </w:r>
    </w:p>
    <w:p>
      <w:pPr>
        <w:pStyle w:val="ListParagraph"/>
        <w:numPr>
          <w:ilvl w:val="0"/>
          <w:numId w:val="2"/>
        </w:numPr>
      </w:pPr>
      <w:r>
        <w:rPr>
          <w:rFonts w:ascii="Arial" w:cs="Arial" w:eastAsia="Arial" w:hAnsi="Arial"/>
          <w:sz w:val="22"/>
          <w:szCs w:val="22"/>
        </w:rPr>
        <w:t xml:space="preserve">Always verify the domain and SSL certificate when using the migration portal.</w:t>
      </w:r>
    </w:p>
    <w:p>
      <w:pPr>
        <w:pStyle w:val="ListParagraph"/>
        <w:numPr>
          <w:ilvl w:val="0"/>
          <w:numId w:val="2"/>
        </w:numPr>
      </w:pPr>
      <w:r>
        <w:rPr>
          <w:rFonts w:ascii="Arial" w:cs="Arial" w:eastAsia="Arial" w:hAnsi="Arial"/>
          <w:sz w:val="22"/>
          <w:szCs w:val="22"/>
        </w:rPr>
        <w:t xml:space="preserve">Use hardware wallets when possible for signing.</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Support</w:t>
      </w:r>
    </w:p>
    <w:p>
      <w:pPr>
        <w:pStyle w:val="ListParagraph"/>
        <w:numPr>
          <w:ilvl w:val="0"/>
          <w:numId w:val="2"/>
        </w:numPr>
      </w:pPr>
      <w:r>
        <w:rPr>
          <w:rFonts w:ascii="Arial" w:cs="Arial" w:eastAsia="Arial" w:hAnsi="Arial"/>
          <w:b/>
          <w:bCs/>
          <w:sz w:val="22"/>
          <w:szCs w:val="22"/>
        </w:rPr>
        <w:t xml:space="preserve">FAQ:</w:t>
      </w:r>
      <w:r>
        <w:rPr>
          <w:rFonts w:ascii="Arial" w:cs="Arial" w:eastAsia="Arial" w:hAnsi="Arial"/>
          <w:sz w:val="22"/>
          <w:szCs w:val="22"/>
        </w:rPr>
        <w:t xml:space="preserve"> https://docs.synergy-network.io/migration/faq</w:t>
      </w:r>
    </w:p>
    <w:p>
      <w:pPr>
        <w:pStyle w:val="ListParagraph"/>
        <w:numPr>
          <w:ilvl w:val="0"/>
          <w:numId w:val="2"/>
        </w:numPr>
      </w:pPr>
      <w:r>
        <w:rPr>
          <w:rFonts w:ascii="Arial" w:cs="Arial" w:eastAsia="Arial" w:hAnsi="Arial"/>
          <w:b/>
          <w:bCs/>
          <w:sz w:val="22"/>
          <w:szCs w:val="22"/>
        </w:rPr>
        <w:t xml:space="preserve">Discord:</w:t>
      </w:r>
      <w:r>
        <w:rPr>
          <w:rFonts w:ascii="Arial" w:cs="Arial" w:eastAsia="Arial" w:hAnsi="Arial"/>
          <w:sz w:val="22"/>
          <w:szCs w:val="22"/>
        </w:rPr>
        <w:t xml:space="preserve"> #migration-help channel</w:t>
      </w:r>
    </w:p>
    <w:p>
      <w:pPr>
        <w:pStyle w:val="ListParagraph"/>
        <w:numPr>
          <w:ilvl w:val="0"/>
          <w:numId w:val="2"/>
        </w:numPr>
      </w:pPr>
      <w:r>
        <w:rPr>
          <w:rFonts w:ascii="Arial" w:cs="Arial" w:eastAsia="Arial" w:hAnsi="Arial"/>
          <w:b/>
          <w:bCs/>
          <w:sz w:val="22"/>
          <w:szCs w:val="22"/>
        </w:rPr>
        <w:t xml:space="preserve">Email:</w:t>
      </w:r>
      <w:r>
        <w:rPr>
          <w:rFonts w:ascii="Arial" w:cs="Arial" w:eastAsia="Arial" w:hAnsi="Arial"/>
          <w:sz w:val="22"/>
          <w:szCs w:val="22"/>
        </w:rPr>
        <w:t xml:space="preserve"> support@synergy-network.io</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Token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2026-03-13T19:20:55.598Z</dcterms:created>
  <dcterms:modified xsi:type="dcterms:W3CDTF">2026-03-13T19:20:55.598Z</dcterms:modified>
</cp:coreProperties>
</file>

<file path=docProps/custom.xml><?xml version="1.0" encoding="utf-8"?>
<Properties xmlns="http://schemas.openxmlformats.org/officeDocument/2006/custom-properties" xmlns:vt="http://schemas.openxmlformats.org/officeDocument/2006/docPropsVTypes"/>
</file>