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Real-World Use Case Playbooks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Per-Industry Deployment Blueprints — 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This document provides comprehensive playbooks for deploying Synergy Network in high-impact industries. Each playbook outlines core use cases, implementation workflows, required components, and measurable success indicators. These blueprints empower domain experts, developers, and organizations to adopt Synergy Network in a modular, scalable, and collaborative fashion.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Industry Playbooks</w:t>
      </w:r>
    </w:p>
    <w:p>
      <w:pPr>
        <w:pStyle w:val="Heading2"/>
      </w:pPr>
      <w:r>
        <w:rPr>
          <w:rFonts w:ascii="Arial" w:cs="Arial" w:eastAsia="Arial" w:hAnsi="Arial"/>
        </w:rPr>
        <w:t xml:space="preserve">1. Music &amp; Creative Industries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60FF"/>
          <w:sz w:val="22"/>
          <w:szCs w:val="22"/>
        </w:rPr>
        <w:t xml:space="preserve">Use Case: </w:t>
      </w:r>
      <w:r>
        <w:rPr>
          <w:rFonts w:ascii="Arial" w:cs="Arial" w:eastAsia="Arial" w:hAnsi="Arial"/>
          <w:sz w:val="22"/>
          <w:szCs w:val="22"/>
        </w:rPr>
        <w:t xml:space="preserve">Transparent royalty distribution and community-powered project funding.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Creators register with UMA and SNS (e.g., artistname.syn).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CreatorDAO contract to manage pooled contributions and royalty splits.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 collaborative projects on-chain with milestone-based funding triggers.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Community votes on release milestones and contribution verification.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CreatorDAO.sol with PoSy reward weighting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RoyaltySplitter.sol for smart distribution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UMA address registry &amp; SNS name mapping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Performance Indicators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Number of funded projects per quarter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Percentage of on-time milestone completions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Average royalty claim resolution time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2. Agriculture &amp; Food Supply Chains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60FF"/>
          <w:sz w:val="22"/>
          <w:szCs w:val="22"/>
        </w:rPr>
        <w:t xml:space="preserve">Use Case: </w:t>
      </w:r>
      <w:r>
        <w:rPr>
          <w:rFonts w:ascii="Arial" w:cs="Arial" w:eastAsia="Arial" w:hAnsi="Arial"/>
          <w:sz w:val="22"/>
          <w:szCs w:val="22"/>
        </w:rPr>
        <w:t xml:space="preserve">Farm-to-shelf traceability and fair pricing transparency.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Farmers, processors, and distributors are onboarded with SNS domain IDs.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traceability contracts using tokenized goods (e.g., CropNFT).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 state changes are confirmed by validators through signed attestations.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End consumers can verify product origin and pricing history via QR code.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ProductTrack.sol smart contract for lifecycle management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Cluster-signed validator attestations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SNS identity for each role (e.g., grower.syn, shipper.syn)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Performance Indicators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Average trace request time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Reduction in produce waste and fraud reports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Verified pricing parity across regions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3. Healthcare &amp; Medical Research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60FF"/>
          <w:sz w:val="22"/>
          <w:szCs w:val="22"/>
        </w:rPr>
        <w:t xml:space="preserve">Use Case: </w:t>
      </w:r>
      <w:r>
        <w:rPr>
          <w:rFonts w:ascii="Arial" w:cs="Arial" w:eastAsia="Arial" w:hAnsi="Arial"/>
          <w:sz w:val="22"/>
          <w:szCs w:val="22"/>
        </w:rPr>
        <w:t xml:space="preserve">Secure patient-controlled medical data vaults for collaborative research.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Patients and researchers authenticate via UMA wallets.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Encrypted data is stored in decentralized vaults (e.g., Arweave/IPFS).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Smart contracts enforce access permissions and data expiration.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logs track who accessed what, when, and why.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DataVault.sol + UMA Access Control Layer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AuditTrail.sol for logging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Secure front-end with zkAuth for access permissions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Performance Indicators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Number of datasets shared and published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Time to data access approval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Percentage of patient opt-in for reuse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4. Education &amp; Certification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60FF"/>
          <w:sz w:val="22"/>
          <w:szCs w:val="22"/>
        </w:rPr>
        <w:t xml:space="preserve">Use Case: </w:t>
      </w:r>
      <w:r>
        <w:rPr>
          <w:rFonts w:ascii="Arial" w:cs="Arial" w:eastAsia="Arial" w:hAnsi="Arial"/>
          <w:sz w:val="22"/>
          <w:szCs w:val="22"/>
        </w:rPr>
        <w:t xml:space="preserve">Decentralized issuing of blockchain-verified credentials.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Instructors are registered and verified via SNS.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Learners complete PoSy-tracked modules in dApps or LMS systems.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Upon completion, NFT-based credentials are minted to learner's UMA.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Employers or institutions can verify credentials publicly.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EduCertNFT.sol with metadata schema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SNS-mapped instructor registry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Credential Explorer for public lookups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Performance Indicators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Credential issuance throughput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Verification lookup requests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Student credential retention rate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5. Community-Driven Finance (DeFi)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60FF"/>
          <w:sz w:val="22"/>
          <w:szCs w:val="22"/>
        </w:rPr>
        <w:t xml:space="preserve">Use Case: </w:t>
      </w:r>
      <w:r>
        <w:rPr>
          <w:rFonts w:ascii="Arial" w:cs="Arial" w:eastAsia="Arial" w:hAnsi="Arial"/>
          <w:sz w:val="22"/>
          <w:szCs w:val="22"/>
        </w:rPr>
        <w:t xml:space="preserve">Permissionless lending pools with reputation-based risk management.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Community treasury creates a new lending pool.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Loan applicants stake collateral and submit proposals.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PoSy voting determines approval based on Synergy Score and cluster review.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Repayments trigger reward redistribution or slashing logic.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CommunityLendingPool.sol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Risk evaluation interface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Synergy Score-based voting contract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Performance Indicators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Average default rate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DAO treasury ROI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Participation rate in loan voting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6. Gaming &amp; Digital Ecosystems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60FF"/>
          <w:sz w:val="22"/>
          <w:szCs w:val="22"/>
        </w:rPr>
        <w:t xml:space="preserve">Use Case: </w:t>
      </w:r>
      <w:r>
        <w:rPr>
          <w:rFonts w:ascii="Arial" w:cs="Arial" w:eastAsia="Arial" w:hAnsi="Arial"/>
          <w:sz w:val="22"/>
          <w:szCs w:val="22"/>
        </w:rPr>
        <w:t xml:space="preserve">Asset interoperability and co-creation of gameplay mechanics.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Game developers tokenize assets with cross-title compatibility.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Players create and stake improvement proposals through in-game DAO interface.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UMA identity links accounts across games for persistent progress.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GameAssetNFT.sol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GameDAO.sol voting engine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UMA identity SDK for persistent login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Performance Indicators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Average player governance activity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Marketplace volume of tokenized items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Game session engagement time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7. Environmental Impact &amp; Carbon Markets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60FF"/>
          <w:sz w:val="22"/>
          <w:szCs w:val="22"/>
        </w:rPr>
        <w:t xml:space="preserve">Use Case: </w:t>
      </w:r>
      <w:r>
        <w:rPr>
          <w:rFonts w:ascii="Arial" w:cs="Arial" w:eastAsia="Arial" w:hAnsi="Arial"/>
          <w:sz w:val="22"/>
          <w:szCs w:val="22"/>
        </w:rPr>
        <w:t xml:space="preserve">Fund decentralized sustainability projects with measurable outcomes.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 leaders submit verified project plans and SNS identities.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Community votes to approve carbon offset plans.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Validators confirm project milestones (e.g., trees planted, energy output).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Carbon credits issued as tradable tokens.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CarbonOffsetNFT.sol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ProjectMilestoneValidator.sol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Bridge for fiat/tokens redemption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Performance Indicators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Metric tons CO2 offset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Number of successful sustainability proposals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Carbon credit secondary market velocity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8. Government &amp; Public Incentives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60FF"/>
          <w:sz w:val="22"/>
          <w:szCs w:val="22"/>
        </w:rPr>
        <w:t xml:space="preserve">Use Case: </w:t>
      </w:r>
      <w:r>
        <w:rPr>
          <w:rFonts w:ascii="Arial" w:cs="Arial" w:eastAsia="Arial" w:hAnsi="Arial"/>
          <w:sz w:val="22"/>
          <w:szCs w:val="22"/>
        </w:rPr>
        <w:t xml:space="preserve">Reward civic participation and automate resource allocation.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Cities issue CivicToken tied to local actions (e.g., recycling, voting).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Events are tracked by mobile apps or smart contract event handlers.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Tokens redeemed for discounts, services, or governance privileges.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CivicToken.sol with DAO hook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Proof-of-action oracle (IoT, QR, App)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Redemption marketplace with regional pricing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Performance Indicators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Average tokens earned per citizen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Public program cost reduction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Voluntary participation uplift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Conclusion</w:t>
      </w:r>
    </w:p>
    <w:p>
      <w:pPr>
        <w:pStyle w:val="Normal"/>
      </w:pPr>
      <w:r>
        <w:rPr>
          <w:rFonts w:ascii="Arial" w:cs="Arial" w:eastAsia="Arial" w:hAnsi="Arial"/>
        </w:rPr>
        <w:t xml:space="preserve">Synergy Network's modular architecture, PoSy governance, and universal identity (UMA + SNS) make it uniquely suited for industry-specific deployments. These playbooks offer practical blueprints for community DAOs, enterprise integrations, and developer implementations across sectors that demand trust, decentralization, and transparent collaboration.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Real-World Use Case Playbooks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2026-03-13T18:16:03.805Z</dcterms:created>
  <dcterms:modified xsi:type="dcterms:W3CDTF">2026-03-13T18:16:03.806Z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