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UMA Resolution Specification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Universal Meta-Address — Synergy Network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1. Overview</w:t>
      </w:r>
    </w:p>
    <w:p>
      <w:pPr>
        <w:pStyle w:val="Normal"/>
      </w:pPr>
      <w:r>
        <w:rPr>
          <w:rFonts w:ascii="Arial" w:cs="Arial" w:eastAsia="Arial" w:hAnsi="Arial"/>
        </w:rPr>
        <w:t xml:space="preserve">This document defines the Universal Meta-Address (UMA) resolution process for Synergy Network, including address mapping, key derivation, and cross-chain resolution. UMA allows a single identity to manage assets and identities across multiple blockchains.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UMA 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UMA ID Format:</w:t>
      </w:r>
      <w:r>
        <w:rPr>
          <w:rFonts w:ascii="Arial" w:cs="Arial" w:eastAsia="Arial" w:hAnsi="Arial"/>
          <w:sz w:val="22"/>
          <w:szCs w:val="22"/>
        </w:rPr>
        <w:t xml:space="preserve"> uma:&lt;chain&gt;:&lt;address&gt;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Examples: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uma:eth:0xabcdef...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uma:syn:sYnQ1zxy...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uma:sol:9wAX...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Each UMA maps to a public key and supports forward and reverse resolution, association with SNS names, and post-quantum cryptographic proof of control.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Key Derivation Process</w:t>
      </w:r>
    </w:p>
    <w:p>
      <w:pPr>
        <w:pStyle w:val="Normal"/>
      </w:pPr>
      <w:r>
        <w:rPr>
          <w:rFonts w:ascii="Arial" w:cs="Arial" w:eastAsia="Arial" w:hAnsi="Arial"/>
        </w:rPr>
        <w:t xml:space="preserve">BIP-39 Mnemonic → BIP-44 HD Path for each target chain: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Chain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Derivation Path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Ethereum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m/44'/60'/0'/0/0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Solana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m/44'/501'/0'/0'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m/5353'/0'/0'/0 (custom path)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UMA Key: derived using master entropy and purpose-built index.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4. Registration Workflow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User generates a Synergy wallet and UMA seed.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System derives corresponding keys for ETH and SOL.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Submit registration on-chain: RegisterUMA(umaID, chain, publicKey)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Smart contract stores UMA ↔ key mapping.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5. Resolution Logic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Forward Resolution:</w:t>
      </w:r>
      <w:r>
        <w:rPr>
          <w:rFonts w:ascii="Arial" w:cs="Arial" w:eastAsia="Arial" w:hAnsi="Arial"/>
          <w:sz w:val="22"/>
          <w:szCs w:val="22"/>
        </w:rPr>
        <w:t xml:space="preserve"> getAddress(umaID)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Reverse Resolution:</w:t>
      </w:r>
      <w:r>
        <w:rPr>
          <w:rFonts w:ascii="Arial" w:cs="Arial" w:eastAsia="Arial" w:hAnsi="Arial"/>
          <w:sz w:val="22"/>
          <w:szCs w:val="22"/>
        </w:rPr>
        <w:t xml:space="preserve"> getUMA(chain, address)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Contracts enforce unique UMA ↔ Address mapping.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SNS names link directly to UMAs (e.g., alice.syn → uma:syn:sYnQ...)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6. Security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UMA keys use Dilithium-3 PQ signatures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Smart contract enforces replay and collision protection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2FA optional layer (hardware wallet + UMA sig)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7. Cross-Chain Compatibility</w:t>
      </w:r>
    </w:p>
    <w:p>
      <w:pPr>
        <w:pStyle w:val="Normal"/>
      </w:pPr>
      <w:r>
        <w:rPr>
          <w:rFonts w:ascii="Arial" w:cs="Arial" w:eastAsia="Arial" w:hAnsi="Arial"/>
        </w:rPr>
        <w:t xml:space="preserve">UMA identities used for: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Token migration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Staking delegation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Bridge validations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DAO role verification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UMA contracts deployed 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Ethereum (UMARegistry.sol)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Solana (uma_registry.rs)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Synergy Mainnet (uma_module.rs)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8. CLI/SDK Support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CLI
synergy-cli register-uma --chain eth --address &lt;0x...&gt;
# JS SDK
sdk.uma.resolve('uma:syn:...')
# Python SDK
resolve_uma('uma:sol:...')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9. Federation and DNS Compatibility (Future Phase)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UMA + SNS to support .syn domain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Federated UMA resolution via Web3 DNS (IPNS, ENS compatibility)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10. Versioning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UMA v1.0 launched with Synergy Testnet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Future revisions stored at /specs/uma/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Governance proposal required for updates to UMA format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UMA Resolution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2026-03-14T00:14:55.101Z</dcterms:created>
  <dcterms:modified xsi:type="dcterms:W3CDTF">2026-03-14T00:14:55.101Z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