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Use Case Whitepaper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supports decentralized collaboration across a wide range of industries and communities. This whitepaper outlines strategic real-world use cases demonstrating how Synergy's infrastructure, governance, and interoperability architecture can solve long-standing problems in digital and physical economies.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Key Use Cases</w:t>
      </w:r>
    </w:p>
    <w:p>
      <w:pPr>
        <w:pStyle w:val="Heading2"/>
      </w:pPr>
      <w:r>
        <w:rPr>
          <w:rFonts w:ascii="Arial" w:cs="Arial" w:eastAsia="Arial" w:hAnsi="Arial"/>
        </w:rPr>
        <w:t xml:space="preserve">2.1 Collaborative Content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Music, Gaming, Film, Writing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Creators collaborate under smart contracts that distribute royalties based on contribution.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Automated, fair revenue sharing.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Crowdfunding transparency.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Eliminates middlemen such as publishers and agencies.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DAOs for Project Governance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Nonprofits, Startups, Co-ops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Smart contract-based governance with weighted voting using Synergy Score.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Transparent decision-making.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Immutable fund tracking.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Merit-based stakeholder influence.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Resource &amp; Skill Exchange Economy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Freelancing, DevOps, Cloud Computing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Users trade services and computing resources via UMA-linked smart contracts.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platform fees.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Decentralized reputation scoring.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Trustless escrow through Synergy Network.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Supply Chain Coordination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Agriculture, Retail, Manufacturing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Multi-party smart contracts track lifecycle of goods across production and distribution.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Proof of origin.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Transparent pricing and handoffs.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Audit-friendly for compliance.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2.5 Education &amp;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Online Learning, Vocational Training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Learners earn micro-credentials stored on-chain; educators are paid in SYN.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Tamper-proof certifications.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P2P tutoring networks with verified rewards.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central institutions required.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2.6 Decentralized Finance (DeFi)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Finance, Lending, Microinsurance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Community lending pools governed by voting and Synergy Score.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Inclusive access to capital.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DAO-managed risk.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Lower operational costs than traditional banking.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2.7 Gaming and Digital Asset Ownership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Gaming, Metaverse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Assets are tokenized and tradeable across games; players participate in game development.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ownership of in-game items and skins.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Collaborative game building.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Universal player identity via UMA.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2.8 Healthcare Data Sharing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Medical Research, Patient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Data stored in encrypted UMA-linked vaults accessible only to permissioned parties.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Patient-owned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research collaboration.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GDPR &amp; HIPAA-compliant architecture.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2.9 Sustainability 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Environment, Carbon Credits, Reforestation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Transparent funding for green projects, tracked via smart contracts.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Immutable tracking of carbon impact.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Donor trust via public fund 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Micro-rewarding of eco actions.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2.10 Community Token 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</w:t>
      </w:r>
      <w:r>
        <w:rPr>
          <w:rFonts w:ascii="Arial" w:cs="Arial" w:eastAsia="Arial" w:hAnsi="Arial"/>
          <w:sz w:val="22"/>
          <w:szCs w:val="22"/>
        </w:rPr>
        <w:t xml:space="preserve"> Municipal Services, Social Impact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  <w:r>
        <w:rPr>
          <w:rFonts w:ascii="Arial" w:cs="Arial" w:eastAsia="Arial" w:hAnsi="Arial"/>
          <w:sz w:val="22"/>
          <w:szCs w:val="22"/>
        </w:rPr>
        <w:t xml:space="preserve"> Cities and organizations issue tokens to reward civic behavior such as recycling.</w:t>
      </w:r>
    </w:p>
    <w:p>
      <w:pPr>
        <w:pStyle w:val="Normal"/>
      </w:pPr>
      <w:r>
        <w:rPr>
          <w:rFonts w:ascii="Arial" w:cs="Arial" w:eastAsia="Arial" w:hAnsi="Arial"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Localized incentive systems.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redemption for services or discounts.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Verifiable social contribution logs.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Cross-Cutting Benefits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Collaboration-first Consensus:</w:t>
      </w:r>
      <w:r>
        <w:rPr>
          <w:rFonts w:ascii="Arial" w:cs="Arial" w:eastAsia="Arial" w:hAnsi="Arial"/>
          <w:sz w:val="22"/>
          <w:szCs w:val="22"/>
        </w:rPr>
        <w:t xml:space="preserve"> PoSy encourages group contributions.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Quantum-Resistant Security:</w:t>
      </w:r>
      <w:r>
        <w:rPr>
          <w:rFonts w:ascii="Arial" w:cs="Arial" w:eastAsia="Arial" w:hAnsi="Arial"/>
          <w:sz w:val="22"/>
          <w:szCs w:val="22"/>
        </w:rPr>
        <w:t xml:space="preserve"> Long-term trust in recordkeeping.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SNS &amp; UMA Systems:</w:t>
      </w:r>
      <w:r>
        <w:rPr>
          <w:rFonts w:ascii="Arial" w:cs="Arial" w:eastAsia="Arial" w:hAnsi="Arial"/>
          <w:sz w:val="22"/>
          <w:szCs w:val="22"/>
        </w:rPr>
        <w:t xml:space="preserve"> Interoperability with human-readable addresses.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Governance:</w:t>
      </w:r>
      <w:r>
        <w:rPr>
          <w:rFonts w:ascii="Arial" w:cs="Arial" w:eastAsia="Arial" w:hAnsi="Arial"/>
          <w:sz w:val="22"/>
          <w:szCs w:val="22"/>
        </w:rPr>
        <w:t xml:space="preserve"> Community-owned infrastructure with DAO-backed guarantees.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enables a new era of decentralized coordination. With a robust infrastructure, post-quantum security, and mission-aligned governance, it provides the tools to empower creators, builders, researchers, and communities to own and govern their economic ecosystems.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Use Case Whitepaper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2026-03-13T18:16:03.543Z</dcterms:created>
  <dcterms:modified xsi:type="dcterms:W3CDTF">2026-03-13T18:16:03.544Z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