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document-overview"/>
    <w:p>
      <w:pPr>
        <w:pStyle w:val="Heading1"/>
      </w:pPr>
      <w:r>
        <w:t xml:space="preserve">0. Document Overview</w:t>
      </w:r>
    </w:p>
    <w:bookmarkStart w:id="20" w:name="document-scope"/>
    <w:p>
      <w:pPr>
        <w:pStyle w:val="Heading2"/>
      </w:pPr>
      <w:r>
        <w:t xml:space="preserve">0.1 Document Scope</w:t>
      </w:r>
    </w:p>
    <w:p>
      <w:pPr>
        <w:pStyle w:val="FirstParagraph"/>
      </w:pPr>
      <w:r>
        <w:t xml:space="preserve">This technical specification defines the</w:t>
      </w:r>
      <w:r>
        <w:t xml:space="preserve"> </w:t>
      </w:r>
      <w:r>
        <w:rPr>
          <w:bCs/>
          <w:b/>
        </w:rPr>
        <w:t xml:space="preserve">Proof‑of‑Synergy (PoSy)</w:t>
      </w:r>
      <w:r>
        <w:t xml:space="preserve"> </w:t>
      </w:r>
      <w:r>
        <w:t xml:space="preserve">consensus protocol for Synergy Network’s Layer‑1 blockchain. The document is designed to be self‑contained yet modular so that implementers can quickly locate the relevant definitions and algorithms. The scope includes the following aspects:</w:t>
      </w:r>
    </w:p>
    <w:p>
      <w:pPr>
        <w:numPr>
          <w:ilvl w:val="0"/>
          <w:numId w:val="1001"/>
        </w:numPr>
        <w:pStyle w:val="Compact"/>
      </w:pPr>
      <w:r>
        <w:rPr>
          <w:bCs/>
          <w:b/>
        </w:rPr>
        <w:t xml:space="preserve">Consensus protocol architecture and mechanics</w:t>
      </w:r>
      <w:r>
        <w:t xml:space="preserve"> </w:t>
      </w:r>
      <w:r>
        <w:t xml:space="preserve">– the core PoSy round logic and state transitions under a partially synchronous network model (GST, Δ)【60263692460511†L11-L27】.</w:t>
      </w:r>
    </w:p>
    <w:p>
      <w:pPr>
        <w:numPr>
          <w:ilvl w:val="0"/>
          <w:numId w:val="1001"/>
        </w:numPr>
        <w:pStyle w:val="Compact"/>
      </w:pPr>
      <w:r>
        <w:rPr>
          <w:bCs/>
          <w:b/>
        </w:rPr>
        <w:t xml:space="preserve">Validator lifecycle management and role separation</w:t>
      </w:r>
      <w:r>
        <w:t xml:space="preserve"> </w:t>
      </w:r>
      <w:r>
        <w:t xml:space="preserve">– processes for onboarding, operating, rotating, and slashing validators, including specialisations for cross‑chain relay and witness roles.</w:t>
      </w:r>
    </w:p>
    <w:p>
      <w:pPr>
        <w:numPr>
          <w:ilvl w:val="0"/>
          <w:numId w:val="1001"/>
        </w:numPr>
        <w:pStyle w:val="Compact"/>
      </w:pPr>
      <w:r>
        <w:rPr>
          <w:bCs/>
          <w:b/>
        </w:rPr>
        <w:t xml:space="preserve">Economic incentive structures</w:t>
      </w:r>
      <w:r>
        <w:t xml:space="preserve"> </w:t>
      </w:r>
      <w:r>
        <w:t xml:space="preserve">– Synergy Score–based staking, reputation and contribution multipliers that reward performance across the Synergy Cross‑Chain Protocol (SXCP) and penalise misbehaviour.</w:t>
      </w:r>
    </w:p>
    <w:p>
      <w:pPr>
        <w:numPr>
          <w:ilvl w:val="0"/>
          <w:numId w:val="1001"/>
        </w:numPr>
        <w:pStyle w:val="Compact"/>
      </w:pPr>
      <w:r>
        <w:rPr>
          <w:bCs/>
          <w:b/>
        </w:rPr>
        <w:t xml:space="preserve">Slashing conditions and penalties</w:t>
      </w:r>
      <w:r>
        <w:t xml:space="preserve"> </w:t>
      </w:r>
      <w:r>
        <w:t xml:space="preserve">– formal evidence types and procedures for proving equivocating blocks, invalid attestations, or relay mis‑signatures.</w:t>
      </w:r>
    </w:p>
    <w:p>
      <w:pPr>
        <w:numPr>
          <w:ilvl w:val="0"/>
          <w:numId w:val="1001"/>
        </w:numPr>
        <w:pStyle w:val="Compact"/>
      </w:pPr>
      <w:r>
        <w:rPr>
          <w:bCs/>
          <w:b/>
        </w:rPr>
        <w:t xml:space="preserve">Adversarial and fault model</w:t>
      </w:r>
      <w:r>
        <w:t xml:space="preserve"> </w:t>
      </w:r>
      <w:r>
        <w:t xml:space="preserve">– static and adaptive corruption capabilities, denial‑of‑service (DoS) models, and partial synchrony assumptions in the presence of an asynchronous interoperability layer【60263692460511†L11-L27】.</w:t>
      </w:r>
    </w:p>
    <w:p>
      <w:pPr>
        <w:numPr>
          <w:ilvl w:val="0"/>
          <w:numId w:val="1001"/>
        </w:numPr>
        <w:pStyle w:val="Compact"/>
      </w:pPr>
      <w:r>
        <w:rPr>
          <w:bCs/>
          <w:b/>
        </w:rPr>
        <w:t xml:space="preserve">Protocol parameters and tuning guidance</w:t>
      </w:r>
      <w:r>
        <w:t xml:space="preserve"> </w:t>
      </w:r>
      <w:r>
        <w:t xml:space="preserve">– mappings from parameter choices to service‑level objectives such as finality and throughput. Recommended presets are provided for the Aegis post‑quantum cryptography (PQC) signature scheme.</w:t>
      </w:r>
    </w:p>
    <w:p>
      <w:pPr>
        <w:numPr>
          <w:ilvl w:val="0"/>
          <w:numId w:val="1001"/>
        </w:numPr>
        <w:pStyle w:val="Compact"/>
      </w:pPr>
      <w:r>
        <w:rPr>
          <w:bCs/>
          <w:b/>
        </w:rPr>
        <w:t xml:space="preserve">Implementation pseudocode</w:t>
      </w:r>
      <w:r>
        <w:t xml:space="preserve"> </w:t>
      </w:r>
      <w:r>
        <w:t xml:space="preserve">– pseudo‑formal descriptions of state machines together with PlusCal/TLA+ specifications for formal verification (§14).</w:t>
      </w:r>
    </w:p>
    <w:p>
      <w:pPr>
        <w:numPr>
          <w:ilvl w:val="0"/>
          <w:numId w:val="1001"/>
        </w:numPr>
        <w:pStyle w:val="Compact"/>
      </w:pPr>
      <w:r>
        <w:rPr>
          <w:bCs/>
          <w:b/>
        </w:rPr>
        <w:t xml:space="preserve">Integration with the Synergy Cross‑Chain Protocol (SXCP)</w:t>
      </w:r>
      <w:r>
        <w:t xml:space="preserve"> </w:t>
      </w:r>
      <w:r>
        <w:t xml:space="preserve">– decoupled interoperability layer enabling asynchronous messaging and asset transfer between chains without compromising PoSy’s deterministic finality (§3, §19).</w:t>
      </w:r>
    </w:p>
    <w:p>
      <w:pPr>
        <w:numPr>
          <w:ilvl w:val="0"/>
          <w:numId w:val="1001"/>
        </w:numPr>
        <w:pStyle w:val="Compact"/>
      </w:pPr>
      <w:r>
        <w:rPr>
          <w:bCs/>
          <w:b/>
        </w:rPr>
        <w:t xml:space="preserve">Universal Meta‑Address (UMA) requirements</w:t>
      </w:r>
      <w:r>
        <w:t xml:space="preserve"> </w:t>
      </w:r>
      <w:r>
        <w:t xml:space="preserve">– requirements for key management, rotation and address encoding used by Aegis within PoSy and SXCP.</w:t>
      </w:r>
    </w:p>
    <w:p>
      <w:pPr>
        <w:pStyle w:val="FirstParagraph"/>
      </w:pPr>
      <w:r>
        <w:t xml:space="preserve">The document is organised into twenty sections followed by seven appendices. A notation reference guide (§2) centralises all symbols, and an updated bibliography (§22) provides citations to external works and Synergy internal specifications. Readers should consult those sections for definitions and further references.</w:t>
      </w:r>
    </w:p>
    <w:bookmarkEnd w:id="20"/>
    <w:bookmarkStart w:id="28" w:name="motivation-design-philosophy"/>
    <w:p>
      <w:pPr>
        <w:pStyle w:val="Heading2"/>
      </w:pPr>
      <w:r>
        <w:t xml:space="preserve">0.2 Motivation &amp; Design Philosophy</w:t>
      </w:r>
    </w:p>
    <w:bookmarkStart w:id="21" w:name="safetyfirst-byzantine-fault-tolerance"/>
    <w:p>
      <w:pPr>
        <w:pStyle w:val="Heading3"/>
      </w:pPr>
      <w:r>
        <w:t xml:space="preserve">Safety‑First Byzantine Fault Tolerance</w:t>
      </w:r>
    </w:p>
    <w:p>
      <w:pPr>
        <w:pStyle w:val="FirstParagraph"/>
      </w:pPr>
      <w:r>
        <w:t xml:space="preserve">PoSy prioritises</w:t>
      </w:r>
      <w:r>
        <w:t xml:space="preserve"> </w:t>
      </w:r>
      <w:r>
        <w:rPr>
          <w:bCs/>
          <w:b/>
        </w:rPr>
        <w:t xml:space="preserve">safety</w:t>
      </w:r>
      <w:r>
        <w:t xml:space="preserve"> </w:t>
      </w:r>
      <w:r>
        <w:t xml:space="preserve">over liveness. The protocol guarantees that once a block is finalised it cannot be reverted, even during network partitions or adversarial conditions. This approach follows the insight that partially synchronous consensus can achieve deterministic finality while tolerating at most (f &lt; n/3) Byzantine validators【60263692460511†L11-L27】. Liveness is restored via exponential back‑off timeouts and view‑change mechanisms (§10) when the network stabilises (GST)【60263692460511†L11-L27】.</w:t>
      </w:r>
    </w:p>
    <w:bookmarkEnd w:id="21"/>
    <w:bookmarkStart w:id="22" w:name="multidimensional-influence-model"/>
    <w:p>
      <w:pPr>
        <w:pStyle w:val="Heading3"/>
      </w:pPr>
      <w:r>
        <w:t xml:space="preserve">Multi‑Dimensional Influence Model</w:t>
      </w:r>
    </w:p>
    <w:p>
      <w:pPr>
        <w:pStyle w:val="FirstParagraph"/>
      </w:pPr>
      <w:r>
        <w:t xml:space="preserve">Traditional proof‑of‑stake systems base validator influence solely on economic stake. PoSy introduces a</w:t>
      </w:r>
      <w:r>
        <w:t xml:space="preserve"> </w:t>
      </w:r>
      <w:r>
        <w:rPr>
          <w:bCs/>
          <w:b/>
        </w:rPr>
        <w:t xml:space="preserve">Synergy model</w:t>
      </w:r>
      <w:r>
        <w:t xml:space="preserve"> </w:t>
      </w:r>
      <w:r>
        <w:t xml:space="preserve">where each validator’s weight (W_i) is a function of:</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Description</w:t>
            </w:r>
          </w:p>
        </w:tc>
        <w:tc>
          <w:tcPr/>
          <w:p>
            <w:pPr>
              <w:pStyle w:val="Compact"/>
              <w:jc w:val="left"/>
            </w:pPr>
            <w:r>
              <w:t xml:space="preserve">Mandatory?</w:t>
            </w:r>
          </w:p>
        </w:tc>
      </w:tr>
      <w:tr>
        <w:tc>
          <w:tcPr/>
          <w:p>
            <w:pPr>
              <w:pStyle w:val="Compact"/>
              <w:jc w:val="left"/>
            </w:pPr>
            <w:r>
              <w:rPr>
                <w:bCs/>
                <w:b/>
              </w:rPr>
              <w:t xml:space="preserve">Stake</w:t>
            </w:r>
          </w:p>
        </w:tc>
        <w:tc>
          <w:tcPr/>
          <w:p>
            <w:pPr>
              <w:pStyle w:val="Compact"/>
              <w:jc w:val="left"/>
            </w:pPr>
            <w:r>
              <w:t xml:space="preserve">Economic security deposit locked by the validator.</w:t>
            </w:r>
          </w:p>
        </w:tc>
        <w:tc>
          <w:tcPr/>
          <w:p>
            <w:pPr>
              <w:pStyle w:val="Compact"/>
              <w:jc w:val="left"/>
            </w:pPr>
            <w:r>
              <w:t xml:space="preserve">Yes</w:t>
            </w:r>
          </w:p>
        </w:tc>
      </w:tr>
      <w:tr>
        <w:tc>
          <w:tcPr/>
          <w:p>
            <w:pPr>
              <w:pStyle w:val="Compact"/>
              <w:jc w:val="left"/>
            </w:pPr>
            <w:r>
              <w:rPr>
                <w:bCs/>
                <w:b/>
              </w:rPr>
              <w:t xml:space="preserve">Reputation</w:t>
            </w:r>
          </w:p>
        </w:tc>
        <w:tc>
          <w:tcPr/>
          <w:p>
            <w:pPr>
              <w:pStyle w:val="Compact"/>
              <w:jc w:val="left"/>
            </w:pPr>
            <w:r>
              <w:t xml:space="preserve">Historical reliability and performance metrics measured across consensus and SXCP relays.</w:t>
            </w:r>
          </w:p>
        </w:tc>
        <w:tc>
          <w:tcPr/>
          <w:p>
            <w:pPr>
              <w:pStyle w:val="Compact"/>
              <w:jc w:val="left"/>
            </w:pPr>
            <w:r>
              <w:t xml:space="preserve">Yes</w:t>
            </w:r>
          </w:p>
        </w:tc>
      </w:tr>
      <w:tr>
        <w:tc>
          <w:tcPr/>
          <w:p>
            <w:pPr>
              <w:pStyle w:val="Compact"/>
              <w:jc w:val="left"/>
            </w:pPr>
            <w:r>
              <w:rPr>
                <w:bCs/>
                <w:b/>
              </w:rPr>
              <w:t xml:space="preserve">Contribution</w:t>
            </w:r>
          </w:p>
        </w:tc>
        <w:tc>
          <w:tcPr/>
          <w:p>
            <w:pPr>
              <w:pStyle w:val="Compact"/>
              <w:jc w:val="left"/>
            </w:pPr>
            <w:r>
              <w:t xml:space="preserve">Ecosystem value creation such as running cross‑chain relayers, oracle services, or participating in governance.</w:t>
            </w:r>
          </w:p>
        </w:tc>
        <w:tc>
          <w:tcPr/>
          <w:p>
            <w:pPr>
              <w:pStyle w:val="Compact"/>
              <w:jc w:val="left"/>
            </w:pPr>
            <w:r>
              <w:t xml:space="preserve">Optional (governance‑managed)</w:t>
            </w:r>
          </w:p>
        </w:tc>
      </w:tr>
    </w:tbl>
    <w:p>
      <w:pPr>
        <w:pStyle w:val="BodyText"/>
      </w:pPr>
      <w:r>
        <w:t xml:space="preserve">Validators with a higher Synergy Score have a greater probability of being selected for committees (§6) and receive proportionally larger rewards (§8). This multi‑dimensional model lowers barriers to entry by rewarding operational excellence and service to the cross‑chain ecosystem.</w:t>
      </w:r>
    </w:p>
    <w:bookmarkEnd w:id="22"/>
    <w:bookmarkStart w:id="23" w:name="role-specialisation-and-sharding"/>
    <w:p>
      <w:pPr>
        <w:pStyle w:val="Heading3"/>
      </w:pPr>
      <w:r>
        <w:t xml:space="preserve">Role Specialisation and Sharding</w:t>
      </w:r>
    </w:p>
    <w:p>
      <w:pPr>
        <w:pStyle w:val="FirstParagraph"/>
      </w:pPr>
      <w:r>
        <w:t xml:space="preserve">To reduce operator burden and attack surface, PoSy separates network roles. Rather than requiring all validators to perform all duties, participants specialise into:</w:t>
      </w:r>
    </w:p>
    <w:p>
      <w:pPr>
        <w:numPr>
          <w:ilvl w:val="0"/>
          <w:numId w:val="1002"/>
        </w:numPr>
        <w:pStyle w:val="Compact"/>
      </w:pPr>
      <w:r>
        <w:rPr>
          <w:bCs/>
          <w:b/>
        </w:rPr>
        <w:t xml:space="preserve">Consensus Validators</w:t>
      </w:r>
      <w:r>
        <w:t xml:space="preserve"> </w:t>
      </w:r>
      <w:r>
        <w:t xml:space="preserve">– produce and finalise blocks within the PoSy state machine. They maintain the canonical chain and sign quorum certificates using Aegis PQC signatures.</w:t>
      </w:r>
    </w:p>
    <w:p>
      <w:pPr>
        <w:numPr>
          <w:ilvl w:val="0"/>
          <w:numId w:val="1002"/>
        </w:numPr>
        <w:pStyle w:val="Compact"/>
      </w:pPr>
      <w:r>
        <w:rPr>
          <w:bCs/>
          <w:b/>
        </w:rPr>
        <w:t xml:space="preserve">SXCP Relayer Validators</w:t>
      </w:r>
      <w:r>
        <w:t xml:space="preserve"> </w:t>
      </w:r>
      <w:r>
        <w:t xml:space="preserve">– maintain asynchronous cross‑chain messaging queues, produce Merkle proofs of external events, and participate in multi‑party signing for asset transfers (§19, §24).</w:t>
      </w:r>
    </w:p>
    <w:p>
      <w:pPr>
        <w:numPr>
          <w:ilvl w:val="0"/>
          <w:numId w:val="1002"/>
        </w:numPr>
        <w:pStyle w:val="Compact"/>
      </w:pPr>
      <w:r>
        <w:rPr>
          <w:bCs/>
          <w:b/>
        </w:rPr>
        <w:t xml:space="preserve">Witness &amp; Oracle Nodes</w:t>
      </w:r>
      <w:r>
        <w:t xml:space="preserve"> </w:t>
      </w:r>
      <w:r>
        <w:t xml:space="preserve">– attest to events on external chains and provide data feeds to PoSy smart contracts. These nodes are registered and slashed via the consensus layer (§9, §20).</w:t>
      </w:r>
    </w:p>
    <w:p>
      <w:pPr>
        <w:numPr>
          <w:ilvl w:val="0"/>
          <w:numId w:val="1002"/>
        </w:numPr>
        <w:pStyle w:val="Compact"/>
      </w:pPr>
      <w:r>
        <w:rPr>
          <w:bCs/>
          <w:b/>
        </w:rPr>
        <w:t xml:space="preserve">Compute Nodes (future)</w:t>
      </w:r>
      <w:r>
        <w:t xml:space="preserve"> </w:t>
      </w:r>
      <w:r>
        <w:t xml:space="preserve">– execute off‑chain computational tasks for the SynQ marketplace. They will be integrated in future versions of the specification.</w:t>
      </w:r>
    </w:p>
    <w:p>
      <w:pPr>
        <w:pStyle w:val="FirstParagraph"/>
      </w:pPr>
      <w:r>
        <w:t xml:space="preserve">This specialisation enables optimised infrastructure per role and prevents validator overload. Cross‑role diversity enforcement ensures that validators operating relayers on multiple chains distribute infrastructure to mitigate correlated failures.</w:t>
      </w:r>
    </w:p>
    <w:bookmarkEnd w:id="23"/>
    <w:bookmarkStart w:id="24" w:name="X03fbafcdcce2cd2b538aed6faf50304adf62eb9"/>
    <w:p>
      <w:pPr>
        <w:pStyle w:val="Heading3"/>
      </w:pPr>
      <w:r>
        <w:t xml:space="preserve">Cryptographic Agility with Post‑Quantum Security</w:t>
      </w:r>
    </w:p>
    <w:p>
      <w:pPr>
        <w:pStyle w:val="FirstParagraph"/>
      </w:pPr>
      <w:r>
        <w:t xml:space="preserve">PoSy adopts</w:t>
      </w:r>
      <w:r>
        <w:t xml:space="preserve"> </w:t>
      </w:r>
      <w:r>
        <w:rPr>
          <w:bCs/>
          <w:b/>
        </w:rPr>
        <w:t xml:space="preserve">cryptographic agility</w:t>
      </w:r>
      <w:r>
        <w:t xml:space="preserve">. All signatures and commitments use the Aegis PQC Layer modules. External schemes such as CRYSTALS–Kyber, CRYSTALS–Dilithium, FALCON and SPHINCS+—recommended by NIST as quantum‑resistant algorithms【13084095401848†L247-L266】—are not used within PoSy. Aegis provides native post‑quantum signatures and verifiable random functions, ensuring long‑term security against quantum adversaries. Where interoperability with legacy systems is required, compatibility adapters are provided at the SXCP layer (§24) but do not compromise PoSy’s internal cryptographic assumptions.</w:t>
      </w:r>
    </w:p>
    <w:bookmarkEnd w:id="24"/>
    <w:bookmarkStart w:id="25" w:name="cartelresistance-mechanisms"/>
    <w:p>
      <w:pPr>
        <w:pStyle w:val="Heading3"/>
      </w:pPr>
      <w:r>
        <w:t xml:space="preserve">Cartel‑Resistance Mechanisms</w:t>
      </w:r>
    </w:p>
    <w:p>
      <w:pPr>
        <w:pStyle w:val="FirstParagraph"/>
      </w:pPr>
      <w:r>
        <w:t xml:space="preserve">To prevent validator collusion and centralisation, PoSy employs:</w:t>
      </w:r>
    </w:p>
    <w:p>
      <w:pPr>
        <w:numPr>
          <w:ilvl w:val="0"/>
          <w:numId w:val="1003"/>
        </w:numPr>
        <w:pStyle w:val="Compact"/>
      </w:pPr>
      <w:r>
        <w:rPr>
          <w:bCs/>
          <w:b/>
        </w:rPr>
        <w:t xml:space="preserve">Randomised committee selection</w:t>
      </w:r>
      <w:r>
        <w:t xml:space="preserve"> </w:t>
      </w:r>
      <w:r>
        <w:t xml:space="preserve">using Aegis entropy beacons (§6) to sample validators based on Synergy weights.</w:t>
      </w:r>
    </w:p>
    <w:p>
      <w:pPr>
        <w:numPr>
          <w:ilvl w:val="0"/>
          <w:numId w:val="1003"/>
        </w:numPr>
        <w:pStyle w:val="Compact"/>
      </w:pPr>
      <w:r>
        <w:rPr>
          <w:bCs/>
          <w:b/>
        </w:rPr>
        <w:t xml:space="preserve">Diversity penalties</w:t>
      </w:r>
      <w:r>
        <w:t xml:space="preserve"> </w:t>
      </w:r>
      <w:r>
        <w:t xml:space="preserve">for validators that repeatedly serve together, encouraging heterogeneous committee composition.</w:t>
      </w:r>
    </w:p>
    <w:p>
      <w:pPr>
        <w:numPr>
          <w:ilvl w:val="0"/>
          <w:numId w:val="1003"/>
        </w:numPr>
        <w:pStyle w:val="Compact"/>
      </w:pPr>
      <w:r>
        <w:rPr>
          <w:bCs/>
          <w:b/>
        </w:rPr>
        <w:t xml:space="preserve">Periodic rotation</w:t>
      </w:r>
      <w:r>
        <w:t xml:space="preserve"> </w:t>
      </w:r>
      <w:r>
        <w:t xml:space="preserve">of committee members across epochs (§11).</w:t>
      </w:r>
    </w:p>
    <w:p>
      <w:pPr>
        <w:numPr>
          <w:ilvl w:val="0"/>
          <w:numId w:val="1003"/>
        </w:numPr>
        <w:pStyle w:val="Compact"/>
      </w:pPr>
      <w:r>
        <w:rPr>
          <w:bCs/>
          <w:b/>
        </w:rPr>
        <w:t xml:space="preserve">Operator metadata tracking</w:t>
      </w:r>
      <w:r>
        <w:t xml:space="preserve"> </w:t>
      </w:r>
      <w:r>
        <w:t xml:space="preserve">such as autonomous system numbers (ASN), geographic distribution and organisational affiliation to monitor concentration risk.</w:t>
      </w:r>
    </w:p>
    <w:p>
      <w:pPr>
        <w:numPr>
          <w:ilvl w:val="0"/>
          <w:numId w:val="1003"/>
        </w:numPr>
        <w:pStyle w:val="Compact"/>
      </w:pPr>
      <w:r>
        <w:rPr>
          <w:bCs/>
          <w:b/>
        </w:rPr>
        <w:t xml:space="preserve">Cross‑role diversity enforcement</w:t>
      </w:r>
      <w:r>
        <w:t xml:space="preserve">, incentivising validators operating multiple relayers to distribute infrastructure across different chains.</w:t>
      </w:r>
    </w:p>
    <w:bookmarkEnd w:id="25"/>
    <w:bookmarkStart w:id="26" w:name="X1b82f78e9eb08db9941fb1d0b9ded2a47b95d4f"/>
    <w:p>
      <w:pPr>
        <w:pStyle w:val="Heading3"/>
      </w:pPr>
      <w:r>
        <w:t xml:space="preserve">Partial Synchrony with Graceful Degradation</w:t>
      </w:r>
    </w:p>
    <w:p>
      <w:pPr>
        <w:pStyle w:val="FirstParagraph"/>
      </w:pPr>
      <w:r>
        <w:t xml:space="preserve">PoSy operates in a</w:t>
      </w:r>
      <w:r>
        <w:t xml:space="preserve"> </w:t>
      </w:r>
      <w:r>
        <w:rPr>
          <w:bCs/>
          <w:b/>
        </w:rPr>
        <w:t xml:space="preserve">partially synchronous</w:t>
      </w:r>
      <w:r>
        <w:t xml:space="preserve"> </w:t>
      </w:r>
      <w:r>
        <w:t xml:space="preserve">environment. During the synchronous periods, message delays and clock skews are bounded by (Δ). After a global stabilisation time (GST), these bounds hold indefinitely【60263692460511†L11-L27】. When the network experiences congestion, DoS attacks or cross‑chain delays, the protocol employs exponential timeout back‑off (§10) to maintain liveness while always preserving safety. The asynchronous SXCP layer decouples cross‑chain communication from core consensus, ensuring that external reorgs or latency spikes do not trigger unnecessary view changes.</w:t>
      </w:r>
    </w:p>
    <w:bookmarkEnd w:id="26"/>
    <w:bookmarkStart w:id="27" w:name="crosschain-consensus-integration"/>
    <w:p>
      <w:pPr>
        <w:pStyle w:val="Heading3"/>
      </w:pPr>
      <w:r>
        <w:t xml:space="preserve">Cross‑Chain Consensus Integration</w:t>
      </w:r>
    </w:p>
    <w:p>
      <w:pPr>
        <w:pStyle w:val="FirstParagraph"/>
      </w:pPr>
      <w:r>
        <w:t xml:space="preserve">PoSy forms the security foundation for all Synergy cross‑chain operations. Finalised PoSy blocks act as</w:t>
      </w:r>
      <w:r>
        <w:t xml:space="preserve"> </w:t>
      </w:r>
      <w:r>
        <w:rPr>
          <w:bCs/>
          <w:b/>
        </w:rPr>
        <w:t xml:space="preserve">checkpoints</w:t>
      </w:r>
      <w:r>
        <w:t xml:space="preserve"> </w:t>
      </w:r>
      <w:r>
        <w:t xml:space="preserve">for verifying SXCP proofs. Validator committees jointly sign threshold attestations for bridge events, and misbehaviour on external chains is reported back to the consensus layer (§9). Emergency governance procedures (§26) can pause SXCP relays if severe security incidents occur. Validator reputation incorporates cross‑chain service performance metrics, encouraging reliable operation across both the core consensus and interoperability layers.</w:t>
      </w:r>
    </w:p>
    <w:bookmarkEnd w:id="27"/>
    <w:bookmarkEnd w:id="28"/>
    <w:bookmarkStart w:id="31" w:name="relationship-to-sxcp-aiaivm-and-synq"/>
    <w:p>
      <w:pPr>
        <w:pStyle w:val="Heading2"/>
      </w:pPr>
      <w:r>
        <w:t xml:space="preserve">0.3 Relationship to SXCP, AI‑AIVM and SynQ</w:t>
      </w:r>
    </w:p>
    <w:bookmarkStart w:id="29" w:name="synergy-crosschain-protocol-sxcp"/>
    <w:p>
      <w:pPr>
        <w:pStyle w:val="Heading3"/>
      </w:pPr>
      <w:r>
        <w:t xml:space="preserve">Synergy Cross‑Chain Protocol (SXCP)</w:t>
      </w:r>
    </w:p>
    <w:p>
      <w:pPr>
        <w:pStyle w:val="FirstParagraph"/>
      </w:pPr>
      <w:r>
        <w:t xml:space="preserve">SXCP replaces the earlier SUIP/S‑XSig interoperability framework and provides asynchronous cross‑chain messaging, asset transfers and generalised state proofs. It uses a lightweight gossip network and asynchronous consensus among relayer validators. PoSy’s finality guarantees allow SXCP to treat PoSy checkpoints as immutable anchors, while SXCP proofs are included in PoSy blocks as data‑availability blobs. This decoupled design ensures that failures or reorgs on external chains do not compromise the safety of the core chain.</w:t>
      </w:r>
    </w:p>
    <w:bookmarkEnd w:id="29"/>
    <w:bookmarkStart w:id="30" w:name="aiaivm-and-synq-integration"/>
    <w:p>
      <w:pPr>
        <w:pStyle w:val="Heading3"/>
      </w:pPr>
      <w:r>
        <w:t xml:space="preserve">AI‑AIVM and SynQ Integration</w:t>
      </w:r>
    </w:p>
    <w:p>
      <w:pPr>
        <w:pStyle w:val="FirstParagraph"/>
      </w:pPr>
      <w:r>
        <w:t xml:space="preserve">The AI‑Assisted Invariant Verification Module (AI‑AIVM) is used throughout the specification to automatically check protocol invariants in the PlusCal/TLA+ models (§14, §15). The SynQ marketplace leverages PoSy’s deterministic finality to settle off‑chain computation tasks executed by compute nodes. PoSy provides the staking and slashing primitives, while SynQ introduces additional economic incentives at the application layer. Both AI‑AIVM and SynQ build on the abstractions defined in this document and rely on the same notation and terminology (§2).</w:t>
      </w:r>
    </w:p>
    <w:bookmarkEnd w:id="30"/>
    <w:bookmarkEnd w:id="31"/>
    <w:bookmarkStart w:id="35" w:name="threatmodelfirst-methodology-notation"/>
    <w:p>
      <w:pPr>
        <w:pStyle w:val="Heading2"/>
      </w:pPr>
      <w:r>
        <w:t xml:space="preserve">0.4 Threat‑Model‑First Methodology &amp; Notation</w:t>
      </w:r>
    </w:p>
    <w:bookmarkStart w:id="32" w:name="threatmodelfirst-approach"/>
    <w:p>
      <w:pPr>
        <w:pStyle w:val="Heading3"/>
      </w:pPr>
      <w:r>
        <w:t xml:space="preserve">Threat‑Model‑First Approach</w:t>
      </w:r>
    </w:p>
    <w:p>
      <w:pPr>
        <w:pStyle w:val="FirstParagraph"/>
      </w:pPr>
      <w:r>
        <w:t xml:space="preserve">Every section of the specification begins with assumptions about the adversary and network environment. Threats are categorised into</w:t>
      </w:r>
      <w:r>
        <w:t xml:space="preserve"> </w:t>
      </w:r>
      <w:r>
        <w:rPr>
          <w:bCs/>
          <w:b/>
        </w:rPr>
        <w:t xml:space="preserve">network‑level</w:t>
      </w:r>
      <w:r>
        <w:t xml:space="preserve"> </w:t>
      </w:r>
      <w:r>
        <w:t xml:space="preserve">(message delays, partitions, DoS),</w:t>
      </w:r>
      <w:r>
        <w:t xml:space="preserve"> </w:t>
      </w:r>
      <w:r>
        <w:rPr>
          <w:bCs/>
          <w:b/>
        </w:rPr>
        <w:t xml:space="preserve">validator‑level</w:t>
      </w:r>
      <w:r>
        <w:t xml:space="preserve"> </w:t>
      </w:r>
      <w:r>
        <w:t xml:space="preserve">(Byzantine behaviour, equivocation),</w:t>
      </w:r>
      <w:r>
        <w:t xml:space="preserve"> </w:t>
      </w:r>
      <w:r>
        <w:rPr>
          <w:bCs/>
          <w:b/>
        </w:rPr>
        <w:t xml:space="preserve">cryptographic</w:t>
      </w:r>
      <w:r>
        <w:t xml:space="preserve"> </w:t>
      </w:r>
      <w:r>
        <w:t xml:space="preserve">(quantum adversaries, signature forgery) and</w:t>
      </w:r>
      <w:r>
        <w:t xml:space="preserve"> </w:t>
      </w:r>
      <w:r>
        <w:rPr>
          <w:bCs/>
          <w:b/>
        </w:rPr>
        <w:t xml:space="preserve">cross‑chain</w:t>
      </w:r>
      <w:r>
        <w:t xml:space="preserve"> </w:t>
      </w:r>
      <w:r>
        <w:t xml:space="preserve">(malicious relayers, proof‑of‑false events). The adversary may statically or adaptively corrupt validators and may delay messages arbitrarily until GST. Consensus tolerates up to (f &lt; n/3) Byzantine faults, while SXCP protocols tolerate up to (m &lt; k/3) faulty relayers per chain. These assumptions guide the design of protocols, proofs and parameter choices. Readers should refer to the threat matrix (§18) for a detailed mapping of attacks to mitigations.</w:t>
      </w:r>
    </w:p>
    <w:bookmarkEnd w:id="32"/>
    <w:bookmarkStart w:id="33" w:name="notation-and-crossreferences"/>
    <w:p>
      <w:pPr>
        <w:pStyle w:val="Heading3"/>
      </w:pPr>
      <w:r>
        <w:t xml:space="preserve">Notation and Cross‑References</w:t>
      </w:r>
    </w:p>
    <w:p>
      <w:pPr>
        <w:pStyle w:val="FirstParagraph"/>
      </w:pPr>
      <w:r>
        <w:t xml:space="preserve">The specification employs a consistent notation throughout. Symbols, units, ranges and default values are centralised in</w:t>
      </w:r>
      <w:r>
        <w:t xml:space="preserve"> </w:t>
      </w:r>
      <w:r>
        <w:rPr>
          <w:bCs/>
          <w:b/>
        </w:rPr>
        <w:t xml:space="preserve">§2 Notation Reference Guide</w:t>
      </w:r>
      <w:r>
        <w:t xml:space="preserve"> </w:t>
      </w:r>
      <w:r>
        <w:t xml:space="preserve">and indexed in</w:t>
      </w:r>
      <w:r>
        <w:t xml:space="preserve"> </w:t>
      </w:r>
      <w:r>
        <w:rPr>
          <w:bCs/>
          <w:b/>
        </w:rPr>
        <w:t xml:space="preserve">Appendix A</w:t>
      </w:r>
      <w:r>
        <w:t xml:space="preserve">. Whenever new variables or parameters are introduced—such as the external chain latency (τ_x), relayer reward rate (ρ_</w:t>
      </w:r>
      <w:r>
        <w:t xml:space="preserve">), Aegis signature footprint (Ξ_</w:t>
      </w:r>
      <w:r>
        <w:t xml:space="preserve">), or quorum timeout (Θ_</w:t>
      </w:r>
      <w:r>
        <w:t xml:space="preserve">)—their definitions explicitly reference §2. Cross‑references to external works are collected in</w:t>
      </w:r>
      <w:r>
        <w:t xml:space="preserve"> </w:t>
      </w:r>
      <w:r>
        <w:rPr>
          <w:bCs/>
          <w:b/>
        </w:rPr>
        <w:t xml:space="preserve">§22 References</w:t>
      </w:r>
      <w:r>
        <w:t xml:space="preserve">, ensuring that the specification remains readable while acknowledging prior art and research.</w:t>
      </w:r>
    </w:p>
    <w:bookmarkEnd w:id="33"/>
    <w:bookmarkStart w:id="34" w:name="representation-tables"/>
    <w:p>
      <w:pPr>
        <w:pStyle w:val="Heading3"/>
      </w:pPr>
      <w:r>
        <w:t xml:space="preserve">Representation Tables</w:t>
      </w:r>
    </w:p>
    <w:p>
      <w:pPr>
        <w:pStyle w:val="FirstParagraph"/>
      </w:pPr>
      <w:r>
        <w:t xml:space="preserve">To provide a concise summary of the threat model, Table 0.1 categorises the primary threats considered by PoSy and SXCP. Detailed descriptions and countermeasures appear in the relevant sections.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Threat Category</w:t>
            </w:r>
          </w:p>
        </w:tc>
        <w:tc>
          <w:tcPr/>
          <w:p>
            <w:pPr>
              <w:pStyle w:val="Compact"/>
              <w:jc w:val="left"/>
            </w:pPr>
            <w:r>
              <w:t xml:space="preserve">Description</w:t>
            </w:r>
          </w:p>
        </w:tc>
        <w:tc>
          <w:tcPr/>
          <w:p>
            <w:pPr>
              <w:pStyle w:val="Compact"/>
              <w:jc w:val="left"/>
            </w:pPr>
            <w:r>
              <w:t xml:space="preserve">Relevant Sections</w:t>
            </w:r>
          </w:p>
        </w:tc>
      </w:tr>
      <w:tr>
        <w:tc>
          <w:tcPr/>
          <w:p>
            <w:pPr>
              <w:pStyle w:val="Compact"/>
              <w:jc w:val="left"/>
            </w:pPr>
            <w:r>
              <w:rPr>
                <w:bCs/>
                <w:b/>
              </w:rPr>
              <w:t xml:space="preserve">Network delays and partitions</w:t>
            </w:r>
          </w:p>
        </w:tc>
        <w:tc>
          <w:tcPr/>
          <w:p>
            <w:pPr>
              <w:pStyle w:val="Compact"/>
              <w:jc w:val="left"/>
            </w:pPr>
            <w:r>
              <w:t xml:space="preserve">Unbounded message delays before GST; temporary partitions due to DDoS or routing failures.</w:t>
            </w:r>
          </w:p>
        </w:tc>
        <w:tc>
          <w:tcPr/>
          <w:p>
            <w:pPr>
              <w:pStyle w:val="Compact"/>
              <w:jc w:val="left"/>
            </w:pPr>
            <w:r>
              <w:t xml:space="preserve">§1, §10</w:t>
            </w:r>
          </w:p>
        </w:tc>
      </w:tr>
      <w:tr>
        <w:tc>
          <w:tcPr/>
          <w:p>
            <w:pPr>
              <w:pStyle w:val="Compact"/>
              <w:jc w:val="left"/>
            </w:pPr>
            <w:r>
              <w:rPr>
                <w:bCs/>
                <w:b/>
              </w:rPr>
              <w:t xml:space="preserve">Byzantine validators</w:t>
            </w:r>
          </w:p>
        </w:tc>
        <w:tc>
          <w:tcPr/>
          <w:p>
            <w:pPr>
              <w:pStyle w:val="Compact"/>
              <w:jc w:val="left"/>
            </w:pPr>
            <w:r>
              <w:t xml:space="preserve">Equivocation, slashing offences, signature forgeries using classical or quantum resources.</w:t>
            </w:r>
          </w:p>
        </w:tc>
        <w:tc>
          <w:tcPr/>
          <w:p>
            <w:pPr>
              <w:pStyle w:val="Compact"/>
              <w:jc w:val="left"/>
            </w:pPr>
            <w:r>
              <w:t xml:space="preserve">§4, §8, §9</w:t>
            </w:r>
          </w:p>
        </w:tc>
      </w:tr>
      <w:tr>
        <w:tc>
          <w:tcPr/>
          <w:p>
            <w:pPr>
              <w:pStyle w:val="Compact"/>
              <w:jc w:val="left"/>
            </w:pPr>
            <w:r>
              <w:rPr>
                <w:bCs/>
                <w:b/>
              </w:rPr>
              <w:t xml:space="preserve">Quantum adversaries</w:t>
            </w:r>
          </w:p>
        </w:tc>
        <w:tc>
          <w:tcPr/>
          <w:p>
            <w:pPr>
              <w:pStyle w:val="Compact"/>
              <w:jc w:val="left"/>
            </w:pPr>
            <w:r>
              <w:t xml:space="preserve">Attackers capable of breaking classical signatures; mitigated by Aegis PQC signatures.</w:t>
            </w:r>
          </w:p>
        </w:tc>
        <w:tc>
          <w:tcPr/>
          <w:p>
            <w:pPr>
              <w:pStyle w:val="Compact"/>
              <w:jc w:val="left"/>
            </w:pPr>
            <w:r>
              <w:t xml:space="preserve">§5, §7</w:t>
            </w:r>
          </w:p>
        </w:tc>
      </w:tr>
      <w:tr>
        <w:tc>
          <w:tcPr/>
          <w:p>
            <w:pPr>
              <w:pStyle w:val="Compact"/>
              <w:jc w:val="left"/>
            </w:pPr>
            <w:r>
              <w:rPr>
                <w:bCs/>
                <w:b/>
              </w:rPr>
              <w:t xml:space="preserve">Cross‑chain relayer faults</w:t>
            </w:r>
          </w:p>
        </w:tc>
        <w:tc>
          <w:tcPr/>
          <w:p>
            <w:pPr>
              <w:pStyle w:val="Compact"/>
              <w:jc w:val="left"/>
            </w:pPr>
            <w:r>
              <w:t xml:space="preserve">Dishonest relayers providing incorrect proofs or signing invalid transactions in SXCP.</w:t>
            </w:r>
          </w:p>
        </w:tc>
        <w:tc>
          <w:tcPr/>
          <w:p>
            <w:pPr>
              <w:pStyle w:val="Compact"/>
              <w:jc w:val="left"/>
            </w:pPr>
            <w:r>
              <w:t xml:space="preserve">§9, §19, §24</w:t>
            </w:r>
          </w:p>
        </w:tc>
      </w:tr>
      <w:tr>
        <w:tc>
          <w:tcPr/>
          <w:p>
            <w:pPr>
              <w:pStyle w:val="Compact"/>
              <w:jc w:val="left"/>
            </w:pPr>
            <w:r>
              <w:rPr>
                <w:bCs/>
                <w:b/>
              </w:rPr>
              <w:t xml:space="preserve">Governance abuse</w:t>
            </w:r>
          </w:p>
        </w:tc>
        <w:tc>
          <w:tcPr/>
          <w:p>
            <w:pPr>
              <w:pStyle w:val="Compact"/>
              <w:jc w:val="left"/>
            </w:pPr>
            <w:r>
              <w:t xml:space="preserve">Malicious proposals or veto misuse during emergency governance.</w:t>
            </w:r>
          </w:p>
        </w:tc>
        <w:tc>
          <w:tcPr/>
          <w:p>
            <w:pPr>
              <w:pStyle w:val="Compact"/>
              <w:jc w:val="left"/>
            </w:pPr>
            <w:r>
              <w:t xml:space="preserve">§26</w:t>
            </w:r>
          </w:p>
        </w:tc>
      </w:tr>
    </w:tbl>
    <w:p>
      <w:pPr>
        <w:pStyle w:val="BodyText"/>
      </w:pPr>
      <w:r>
        <w:t xml:space="preserve">The adoption of a threat‑model‑first methodology ensures that security and safety considerations are systematically addressed across the specification.</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2025-10-17T06:28:46Z</dcterms:created>
  <dcterms:modified xsi:type="dcterms:W3CDTF">2025-10-17T06:28:46Z</dcterms:modified>
</cp:coreProperties>
</file>

<file path=docProps/custom.xml><?xml version="1.0" encoding="utf-8"?>
<Properties xmlns="http://schemas.openxmlformats.org/officeDocument/2006/custom-properties" xmlns:vt="http://schemas.openxmlformats.org/officeDocument/2006/docPropsVTypes"/>
</file>