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ppendix-b-references"/>
    <w:p>
      <w:pPr>
        <w:pStyle w:val="Heading1"/>
      </w:pPr>
      <w:r>
        <w:t xml:space="preserve">Appendix B – References</w:t>
      </w:r>
    </w:p>
    <w:p>
      <w:pPr>
        <w:pStyle w:val="FirstParagraph"/>
      </w:pPr>
      <w:r>
        <w:t xml:space="preserve">This bibliography lists documents, standards and research papers referenced in the Proof of Synergy specification. Where possible, links or citations to publicly available documents are provided. Internal documents (e.g., draft specifications and test vector repositories) are maintained in the Synergy Network repository.</w:t>
      </w:r>
    </w:p>
    <w:p>
      <w:pPr>
        <w:numPr>
          <w:ilvl w:val="0"/>
          <w:numId w:val="1001"/>
        </w:numPr>
        <w:pStyle w:val="Compact"/>
      </w:pPr>
      <w:r>
        <w:rPr>
          <w:bCs/>
          <w:b/>
        </w:rPr>
        <w:t xml:space="preserve">Partial Synchrony Model.</w:t>
      </w:r>
      <w:r>
        <w:t xml:space="preserve"> </w:t>
      </w:r>
      <w:r>
        <w:t xml:space="preserve">D. Dolev, C. Dwork and L. Stockmeyer.</w:t>
      </w:r>
      <w:r>
        <w:t xml:space="preserve"> </w:t>
      </w:r>
      <w:r>
        <w:rPr>
          <w:iCs/>
          <w:i/>
        </w:rPr>
        <w:t xml:space="preserve">On the Minimal Synchronism Needed for Distributed Consensus.</w:t>
      </w:r>
      <w:r>
        <w:t xml:space="preserve"> </w:t>
      </w:r>
      <w:r>
        <w:t xml:space="preserve">Journal of the ACM, 1987. Defines the concepts of global stabilisation time (GST), message delay bound (Δ) and clock skew (δ)【60263692460511†L11-L27】.</w:t>
      </w:r>
    </w:p>
    <w:p>
      <w:pPr>
        <w:numPr>
          <w:ilvl w:val="0"/>
          <w:numId w:val="1001"/>
        </w:numPr>
        <w:pStyle w:val="Compact"/>
      </w:pPr>
      <w:r>
        <w:rPr>
          <w:bCs/>
          <w:b/>
        </w:rPr>
        <w:t xml:space="preserve">Post‑Quantum Cryptography Standardization.</w:t>
      </w:r>
      <w:r>
        <w:t xml:space="preserve"> </w:t>
      </w:r>
      <w:r>
        <w:t xml:space="preserve">NIST.</w:t>
      </w:r>
      <w:r>
        <w:t xml:space="preserve"> </w:t>
      </w:r>
      <w:r>
        <w:rPr>
          <w:iCs/>
          <w:i/>
        </w:rPr>
        <w:t xml:space="preserve">Preliminary Selection for the First PQC Standardization.</w:t>
      </w:r>
      <w:r>
        <w:t xml:space="preserve"> </w:t>
      </w:r>
      <w:r>
        <w:t xml:space="preserve">July 2022. Lists cryptographic algorithms Kyber, Dilithium, Falcon and SPHINCS+ among the first quantum‑resistant schemes【13084095401848†L247-L266】. PoSy prohibits these external schemes and instead uses the Aegis PQC layer.</w:t>
      </w:r>
    </w:p>
    <w:p>
      <w:pPr>
        <w:numPr>
          <w:ilvl w:val="0"/>
          <w:numId w:val="1001"/>
        </w:numPr>
        <w:pStyle w:val="Compact"/>
      </w:pPr>
      <w:r>
        <w:rPr>
          <w:bCs/>
          <w:b/>
        </w:rPr>
        <w:t xml:space="preserve">Aegis PQC Suite.</w:t>
      </w:r>
      <w:r>
        <w:t xml:space="preserve"> </w:t>
      </w:r>
      <w:r>
        <w:t xml:space="preserve">Synergy Network.</w:t>
      </w:r>
      <w:r>
        <w:t xml:space="preserve"> </w:t>
      </w:r>
      <w:r>
        <w:rPr>
          <w:iCs/>
          <w:i/>
        </w:rPr>
        <w:t xml:space="preserve">Aegis: Post‑Quantum Cryptography for Proof of Synergy.</w:t>
      </w:r>
      <w:r>
        <w:t xml:space="preserve"> </w:t>
      </w:r>
      <w:r>
        <w:t xml:space="preserve">Internal whitepaper, 2025. Describes the signature schemes, VRFs, key derivation and aggregate multisignatures used throughout PoSy. Available in the Synergy Network repository.</w:t>
      </w:r>
    </w:p>
    <w:p>
      <w:pPr>
        <w:numPr>
          <w:ilvl w:val="0"/>
          <w:numId w:val="1001"/>
        </w:numPr>
        <w:pStyle w:val="Compact"/>
      </w:pPr>
      <w:r>
        <w:rPr>
          <w:bCs/>
          <w:b/>
        </w:rPr>
        <w:t xml:space="preserve">Synergy Cross‑Chain Protocol (SXCP).</w:t>
      </w:r>
      <w:r>
        <w:t xml:space="preserve"> </w:t>
      </w:r>
      <w:r>
        <w:t xml:space="preserve">Synergy Network.</w:t>
      </w:r>
      <w:r>
        <w:t xml:space="preserve"> </w:t>
      </w:r>
      <w:r>
        <w:rPr>
          <w:iCs/>
          <w:i/>
        </w:rPr>
        <w:t xml:space="preserve">SXCP Technical Specification.</w:t>
      </w:r>
      <w:r>
        <w:t xml:space="preserve"> </w:t>
      </w:r>
      <w:r>
        <w:t xml:space="preserve">Internal document, 2025. Defines message formats, proof schemas and attestation aggregation for cross‑chain interoperability.</w:t>
      </w:r>
    </w:p>
    <w:p>
      <w:pPr>
        <w:numPr>
          <w:ilvl w:val="0"/>
          <w:numId w:val="1001"/>
        </w:numPr>
        <w:pStyle w:val="Compact"/>
      </w:pPr>
      <w:r>
        <w:rPr>
          <w:bCs/>
          <w:b/>
        </w:rPr>
        <w:t xml:space="preserve">PlusCal/TLA+ Models.</w:t>
      </w:r>
      <w:r>
        <w:t xml:space="preserve"> </w:t>
      </w:r>
      <w:r>
        <w:t xml:space="preserve">Synergy Network Formal Methods Team.</w:t>
      </w:r>
      <w:r>
        <w:t xml:space="preserve"> </w:t>
      </w:r>
      <w:r>
        <w:rPr>
          <w:iCs/>
          <w:i/>
        </w:rPr>
        <w:t xml:space="preserve">Proof of Synergy Consensus Models.</w:t>
      </w:r>
      <w:r>
        <w:t xml:space="preserve"> </w:t>
      </w:r>
      <w:r>
        <w:t xml:space="preserve">2025. Machine‑checked specifications for consensus, view change and SXCP queue processing.</w:t>
      </w:r>
    </w:p>
    <w:p>
      <w:pPr>
        <w:numPr>
          <w:ilvl w:val="0"/>
          <w:numId w:val="1001"/>
        </w:numPr>
        <w:pStyle w:val="Compact"/>
      </w:pPr>
      <w:r>
        <w:rPr>
          <w:bCs/>
          <w:b/>
        </w:rPr>
        <w:t xml:space="preserve">Weighted Byzantine Fault Tolerance.</w:t>
      </w:r>
      <w:r>
        <w:t xml:space="preserve"> </w:t>
      </w:r>
      <w:r>
        <w:t xml:space="preserve">C. Cachin, K. Kursawe and V. Shoup.</w:t>
      </w:r>
      <w:r>
        <w:t xml:space="preserve"> </w:t>
      </w:r>
      <w:r>
        <w:rPr>
          <w:iCs/>
          <w:i/>
        </w:rPr>
        <w:t xml:space="preserve">Random Oracles in Constantinople: Practical Byzantine Tolerant Protocols.</w:t>
      </w:r>
      <w:r>
        <w:t xml:space="preserve"> </w:t>
      </w:r>
      <w:r>
        <w:t xml:space="preserve">EUROCRYPT 2000. Provides mathematical background for weighted quorum thresholds.</w:t>
      </w:r>
    </w:p>
    <w:p>
      <w:pPr>
        <w:numPr>
          <w:ilvl w:val="0"/>
          <w:numId w:val="1001"/>
        </w:numPr>
        <w:pStyle w:val="Compact"/>
      </w:pPr>
      <w:r>
        <w:rPr>
          <w:bCs/>
          <w:b/>
        </w:rPr>
        <w:t xml:space="preserve">Proposer‑Builder Separation.</w:t>
      </w:r>
      <w:r>
        <w:t xml:space="preserve"> </w:t>
      </w:r>
      <w:r>
        <w:t xml:space="preserve">Ethereum Foundation.</w:t>
      </w:r>
      <w:r>
        <w:t xml:space="preserve"> </w:t>
      </w:r>
      <w:r>
        <w:rPr>
          <w:iCs/>
          <w:i/>
        </w:rPr>
        <w:t xml:space="preserve">EIP‑1559 and PBS: A New Proposal for Block Building.</w:t>
      </w:r>
      <w:r>
        <w:t xml:space="preserve"> </w:t>
      </w:r>
      <w:r>
        <w:t xml:space="preserve">2022. Discusses MEV mitigation via builder auctions. PoSy adapts similar principles in §8 and §18.</w:t>
      </w:r>
    </w:p>
    <w:p>
      <w:pPr>
        <w:numPr>
          <w:ilvl w:val="0"/>
          <w:numId w:val="1001"/>
        </w:numPr>
        <w:pStyle w:val="Compact"/>
      </w:pPr>
      <w:r>
        <w:rPr>
          <w:bCs/>
          <w:b/>
        </w:rPr>
        <w:t xml:space="preserve">Erasure Coding for Data Availability.</w:t>
      </w:r>
      <w:r>
        <w:t xml:space="preserve"> </w:t>
      </w:r>
      <w:r>
        <w:t xml:space="preserve">L. Ren, R. Zhang and Q. Wang.</w:t>
      </w:r>
      <w:r>
        <w:t xml:space="preserve"> </w:t>
      </w:r>
      <w:r>
        <w:rPr>
          <w:iCs/>
          <w:i/>
        </w:rPr>
        <w:t xml:space="preserve">Data Availability Sampling in Blockchain Networks.</w:t>
      </w:r>
      <w:r>
        <w:t xml:space="preserve"> </w:t>
      </w:r>
      <w:r>
        <w:t xml:space="preserve">Symposium on Networked Systems Design and Implementation (NSDI) 2021. Inspires PoSy’s DA sampling protocols (§20).</w:t>
      </w:r>
    </w:p>
    <w:p>
      <w:pPr>
        <w:pStyle w:val="FirstParagraph"/>
      </w:pPr>
      <w:r>
        <w:t xml:space="preserve">Further reading, including test vector repositories and implementation guides, can be found in the Synergy Network development portal. References marked with citations in the main text correspond to the in‑line citation numbers (e.g., [1], [2]).</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2025-10-17T07:06:42Z</dcterms:created>
  <dcterms:modified xsi:type="dcterms:W3CDTF">2025-10-17T07:06:42Z</dcterms:modified>
</cp:coreProperties>
</file>

<file path=docProps/custom.xml><?xml version="1.0" encoding="utf-8"?>
<Properties xmlns="http://schemas.openxmlformats.org/officeDocument/2006/custom-properties" xmlns:vt="http://schemas.openxmlformats.org/officeDocument/2006/docPropsVTypes"/>
</file>