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ormal-semantics-type-system"/>
    <w:p>
      <w:pPr>
        <w:pStyle w:val="Heading1"/>
      </w:pPr>
      <w:r>
        <w:t xml:space="preserve">2. Formal Semantics &amp; Type System</w:t>
      </w:r>
    </w:p>
    <w:p>
      <w:pPr>
        <w:pStyle w:val="FirstParagraph"/>
      </w:pPr>
      <w:r>
        <w:t xml:space="preserve">This section defines the syntax, type system, and</w:t>
      </w:r>
      <w:r>
        <w:t xml:space="preserve"> </w:t>
      </w:r>
      <w:r>
        <w:t xml:space="preserve">operational semantics of SynQ. A precise definition</w:t>
      </w:r>
      <w:r>
        <w:t xml:space="preserve"> </w:t>
      </w:r>
      <w:r>
        <w:t xml:space="preserve">enables implementers to build interoperable compilers and</w:t>
      </w:r>
      <w:r>
        <w:t xml:space="preserve"> </w:t>
      </w:r>
      <w:r>
        <w:t xml:space="preserve">runtimes and allows formal methods practitioners to verify</w:t>
      </w:r>
      <w:r>
        <w:t xml:space="preserve"> </w:t>
      </w:r>
      <w:r>
        <w:t xml:space="preserve">contracts written in the language.</w:t>
      </w:r>
    </w:p>
    <w:bookmarkStart w:id="23" w:name="syntax-and-grammar"/>
    <w:p>
      <w:pPr>
        <w:pStyle w:val="Heading2"/>
      </w:pPr>
      <w:r>
        <w:t xml:space="preserve">2.1 Syntax and Grammar</w:t>
      </w:r>
    </w:p>
    <w:p>
      <w:pPr>
        <w:pStyle w:val="FirstParagraph"/>
      </w:pPr>
      <w:r>
        <w:t xml:space="preserve">The SynQ grammar is specified using the</w:t>
      </w:r>
      <w:r>
        <w:t xml:space="preserve"> </w:t>
      </w:r>
      <w:hyperlink r:id="rId20">
        <w:r>
          <w:rPr>
            <w:rStyle w:val="Hyperlink"/>
          </w:rPr>
          <w:t xml:space="preserve">PEST</w:t>
        </w:r>
      </w:hyperlink>
      <w:r>
        <w:t xml:space="preserve"> </w:t>
      </w:r>
      <w:r>
        <w:t xml:space="preserve">notation in Appendix A. At a high level, a SynQ source</w:t>
      </w:r>
      <w:r>
        <w:t xml:space="preserve"> </w:t>
      </w:r>
      <w:r>
        <w:t xml:space="preserve">file consists of</w:t>
      </w:r>
      <w:r>
        <w:t xml:space="preserve"> </w:t>
      </w:r>
      <w:r>
        <w:rPr>
          <w:bCs/>
          <w:b/>
        </w:rPr>
        <w:t xml:space="preserve">struct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contract</w:t>
      </w:r>
      <w:r>
        <w:t xml:space="preserve"> </w:t>
      </w:r>
      <w:r>
        <w:t xml:space="preserve">definitions:</w:t>
      </w:r>
    </w:p>
    <w:p>
      <w:pPr>
        <w:pStyle w:val="SourceCode"/>
      </w:pPr>
      <w:r>
        <w:rPr>
          <w:rStyle w:val="VerbatimChar"/>
        </w:rPr>
        <w:t xml:space="preserve">source_file      = { SOI ~ item* ~ EOI }</w:t>
      </w:r>
      <w:r>
        <w:br/>
      </w:r>
      <w:r>
        <w:rPr>
          <w:rStyle w:val="VerbatimChar"/>
        </w:rPr>
        <w:t xml:space="preserve">item             = { struct_def | contract_def }</w:t>
      </w:r>
      <w:r>
        <w:br/>
      </w:r>
      <w:r>
        <w:rPr>
          <w:rStyle w:val="VerbatimChar"/>
        </w:rPr>
        <w:t xml:space="preserve">struct_def       = { "struct" ~ IDENT ~ "{" ~ field* ~ "}" }</w:t>
      </w:r>
      <w:r>
        <w:br/>
      </w:r>
      <w:r>
        <w:rPr>
          <w:rStyle w:val="VerbatimChar"/>
        </w:rPr>
        <w:t xml:space="preserve">field            = { IDENT ~ ":" ~ type_decl ~ ";" }</w:t>
      </w:r>
      <w:r>
        <w:br/>
      </w:r>
      <w:r>
        <w:rPr>
          <w:rStyle w:val="VerbatimChar"/>
        </w:rPr>
        <w:t xml:space="preserve">contract_def     = { "contract" ~ IDENT ~ "{" ~ part* ~ "}" }</w:t>
      </w:r>
      <w:r>
        <w:br/>
      </w:r>
      <w:r>
        <w:rPr>
          <w:rStyle w:val="VerbatimChar"/>
        </w:rPr>
        <w:t xml:space="preserve">part             = { state_var | func_def }</w:t>
      </w:r>
      <w:r>
        <w:br/>
      </w:r>
      <w:r>
        <w:rPr>
          <w:rStyle w:val="VerbatimChar"/>
        </w:rPr>
        <w:t xml:space="preserve">state_var        = { IDENT ~ ":" ~ type_decl ~ ("public"?) ~ ";" }</w:t>
      </w:r>
      <w:r>
        <w:br/>
      </w:r>
      <w:r>
        <w:rPr>
          <w:rStyle w:val="VerbatimChar"/>
        </w:rPr>
        <w:t xml:space="preserve">func_def         = { "function" ~ IDENT ~ "(" ~ (param ~ ("," ~ param)*)? ~ ")" ~ block }</w:t>
      </w:r>
      <w:r>
        <w:br/>
      </w:r>
      <w:r>
        <w:rPr>
          <w:rStyle w:val="VerbatimChar"/>
        </w:rPr>
        <w:t xml:space="preserve">param            = { IDENT ~ ":" ~ type_decl }</w:t>
      </w:r>
      <w:r>
        <w:br/>
      </w:r>
      <w:r>
        <w:rPr>
          <w:rStyle w:val="VerbatimChar"/>
        </w:rPr>
        <w:t xml:space="preserve">block            = { "{" ~ stmt* ~ "}" }</w:t>
      </w:r>
      <w:r>
        <w:br/>
      </w:r>
      <w:r>
        <w:rPr>
          <w:rStyle w:val="VerbatimChar"/>
        </w:rPr>
        <w:t xml:space="preserve">type_decl        = { IDENT | IDENT "&lt;" number "&gt;" }</w:t>
      </w:r>
      <w:r>
        <w:br/>
      </w:r>
      <w:r>
        <w:rPr>
          <w:rStyle w:val="VerbatimChar"/>
        </w:rPr>
        <w:t xml:space="preserve">IDENT            = @{ (ASCII_ALPHA | "_") ~ (ASCII_ALPHANUMERIC | "_")* }</w:t>
      </w:r>
      <w:r>
        <w:br/>
      </w:r>
      <w:r>
        <w:rPr>
          <w:rStyle w:val="VerbatimChar"/>
        </w:rPr>
        <w:t xml:space="preserve">number           = @{ ASCII_DIGIT+ }</w:t>
      </w:r>
    </w:p>
    <w:p>
      <w:pPr>
        <w:pStyle w:val="FirstParagraph"/>
      </w:pPr>
      <w:r>
        <w:t xml:space="preserve">This grammar is deliberately minimal. Real‑world SynQ</w:t>
      </w:r>
      <w:r>
        <w:t xml:space="preserve"> </w:t>
      </w:r>
      <w:r>
        <w:t xml:space="preserve">implementations extend it with additional constructs such as</w:t>
      </w:r>
      <w:r>
        <w:t xml:space="preserve"> </w:t>
      </w:r>
      <w:r>
        <w:t xml:space="preserve">conditional statements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), loops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), attributes (e.g.,</w:t>
      </w:r>
      <w:r>
        <w:t xml:space="preserve"> </w:t>
      </w:r>
      <w:r>
        <w:rPr>
          <w:rStyle w:val="VerbatimChar"/>
        </w:rPr>
        <w:t xml:space="preserve">@public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@gas_cost</w:t>
      </w:r>
      <w:r>
        <w:t xml:space="preserve">), and</w:t>
      </w:r>
      <w:r>
        <w:t xml:space="preserve"> </w:t>
      </w:r>
      <w:r>
        <w:t xml:space="preserve">macros (</w:t>
      </w:r>
      <w:r>
        <w:rPr>
          <w:rStyle w:val="VerbatimChar"/>
        </w:rPr>
        <w:t xml:space="preserve">macro storage_cost&lt;T&gt;(value: T) -&gt; gas {...}</w:t>
      </w:r>
      <w:r>
        <w:t xml:space="preserve">).</w:t>
      </w:r>
      <w:r>
        <w:t xml:space="preserve"> </w:t>
      </w:r>
      <w:r>
        <w:t xml:space="preserve">Appendix A provides the complete grammar.</w:t>
      </w:r>
    </w:p>
    <w:bookmarkStart w:id="21" w:name="reserved-words"/>
    <w:p>
      <w:pPr>
        <w:pStyle w:val="Heading3"/>
      </w:pPr>
      <w:r>
        <w:t xml:space="preserve">Reserved Words</w:t>
      </w:r>
    </w:p>
    <w:p>
      <w:pPr>
        <w:pStyle w:val="FirstParagraph"/>
      </w:pPr>
      <w:r>
        <w:t xml:space="preserve">The following tokens are reserved and may not be used as</w:t>
      </w:r>
      <w:r>
        <w:t xml:space="preserve"> </w:t>
      </w:r>
      <w:r>
        <w:t xml:space="preserve">identifiers: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Uint256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DilithiumSignature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DilithiumPublicKey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FalconSignature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FalconPublicKey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KyberCiphertext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KyberPublicKey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KyberKeyPair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</w:t>
      </w:r>
      <w:r>
        <w:t xml:space="preserve">.</w:t>
      </w:r>
    </w:p>
    <w:bookmarkEnd w:id="21"/>
    <w:bookmarkStart w:id="22" w:name="comments-and-whitespace"/>
    <w:p>
      <w:pPr>
        <w:pStyle w:val="Heading3"/>
      </w:pPr>
      <w:r>
        <w:t xml:space="preserve">Comments and Whitespace</w:t>
      </w:r>
    </w:p>
    <w:p>
      <w:pPr>
        <w:pStyle w:val="FirstParagraph"/>
      </w:pPr>
      <w:r>
        <w:t xml:space="preserve">Single‑line comments begin with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and extend to the end</w:t>
      </w:r>
      <w:r>
        <w:t xml:space="preserve"> </w:t>
      </w:r>
      <w:r>
        <w:t xml:space="preserve">of the line. Multi‑line comments are enclosed in</w:t>
      </w:r>
      <w:r>
        <w:t xml:space="preserve"> </w:t>
      </w:r>
      <w:r>
        <w:rPr>
          <w:rStyle w:val="VerbatimChar"/>
        </w:rPr>
        <w:t xml:space="preserve">/* ... */</w:t>
      </w:r>
      <w:r>
        <w:t xml:space="preserve">.</w:t>
      </w:r>
      <w:r>
        <w:t xml:space="preserve"> </w:t>
      </w:r>
      <w:r>
        <w:t xml:space="preserve">Whitespace is ignored except as a separator between tokens.</w:t>
      </w:r>
    </w:p>
    <w:bookmarkEnd w:id="22"/>
    <w:bookmarkEnd w:id="23"/>
    <w:bookmarkStart w:id="24" w:name="primitive-types"/>
    <w:p>
      <w:pPr>
        <w:pStyle w:val="Heading2"/>
      </w:pPr>
      <w:r>
        <w:t xml:space="preserve">2.2 Primitive Types</w:t>
      </w:r>
    </w:p>
    <w:p>
      <w:pPr>
        <w:pStyle w:val="FirstParagraph"/>
      </w:pPr>
      <w:r>
        <w:t xml:space="preserve">SynQ provides the following primitive types: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75"/>
        <w:gridCol w:w="56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value (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256‑bit integer with wraparound arithmetic.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32‑byte account or contract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Dynamically sized byte array; immutable in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DilithiumPublicKey&lt;L&gt;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for Dilithium at security level L (2, 3,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DilithiumSignature&lt;L&gt;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for Dilithium at level 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FalconPublicKey&lt;N&gt;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for Falcon with parameter N (512, 1024).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FalconSignature&lt;N&gt;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for Falcon with parameter 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KyberPublicKey&lt;K&gt;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for Kyber with dimension K (512, 768).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KyberCiphertext&lt;K&gt;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Ciphertext for Kyber encapsulation.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KyberKeyPair&lt;K&gt;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pair for Kyber (includes public and private parts).</w:t>
            </w:r>
          </w:p>
        </w:tc>
      </w:tr>
    </w:tbl>
    <w:p>
      <w:pPr>
        <w:pStyle w:val="BodyText"/>
      </w:pPr>
      <w:r>
        <w:t xml:space="preserve">Array types (</w:t>
      </w:r>
      <w:r>
        <w:rPr>
          <w:rStyle w:val="VerbatimChar"/>
        </w:rPr>
        <w:t xml:space="preserve">T[]</w:t>
      </w:r>
      <w:r>
        <w:t xml:space="preserve">), fixed‑size arrays (</w:t>
      </w:r>
      <w:r>
        <w:rPr>
          <w:rStyle w:val="VerbatimChar"/>
        </w:rPr>
        <w:t xml:space="preserve">T[n]</w:t>
      </w:r>
      <w:r>
        <w:t xml:space="preserve">), and maps</w:t>
      </w:r>
      <w:r>
        <w:t xml:space="preserve"> </w:t>
      </w:r>
      <w:r>
        <w:t xml:space="preserve">(</w:t>
      </w:r>
      <w:r>
        <w:rPr>
          <w:rStyle w:val="VerbatimChar"/>
        </w:rPr>
        <w:t xml:space="preserve">mapping&lt;K,V&gt;</w:t>
      </w:r>
      <w:r>
        <w:t xml:space="preserve">) are defined in §2.3. Strings are encoded</w:t>
      </w:r>
      <w:r>
        <w:t xml:space="preserve"> </w:t>
      </w:r>
      <w:r>
        <w:t xml:space="preserve">as UTF‑8 within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. Signed integers can be</w:t>
      </w:r>
      <w:r>
        <w:t xml:space="preserve"> </w:t>
      </w:r>
      <w:r>
        <w:t xml:space="preserve">represented via custom structs if needed.</w:t>
      </w:r>
    </w:p>
    <w:bookmarkEnd w:id="24"/>
    <w:bookmarkStart w:id="25" w:name="composite-types-structs-arrays-maps"/>
    <w:p>
      <w:pPr>
        <w:pStyle w:val="Heading2"/>
      </w:pPr>
      <w:r>
        <w:t xml:space="preserve">2.3 Composite Types (Structs, Arrays, Maps)</w:t>
      </w:r>
    </w:p>
    <w:p>
      <w:pPr>
        <w:pStyle w:val="FirstParagraph"/>
      </w:pPr>
      <w:r>
        <w:rPr>
          <w:bCs/>
          <w:b/>
        </w:rPr>
        <w:t xml:space="preserve">Structs</w:t>
      </w:r>
      <w:r>
        <w:t xml:space="preserve"> </w:t>
      </w:r>
      <w:r>
        <w:t xml:space="preserve">group heterogeneous fields under a single name.</w:t>
      </w:r>
      <w:r>
        <w:t xml:space="preserve"> </w:t>
      </w:r>
      <w:r>
        <w:t xml:space="preserve">Field names and types are declared explicitly:</w:t>
      </w:r>
    </w:p>
    <w:p>
      <w:pPr>
        <w:pStyle w:val="SourceCode"/>
      </w:pPr>
      <w:r>
        <w:rPr>
          <w:rStyle w:val="VerbatimChar"/>
        </w:rPr>
        <w:t xml:space="preserve">struct Member {</w:t>
      </w:r>
      <w:r>
        <w:br/>
      </w:r>
      <w:r>
        <w:rPr>
          <w:rStyle w:val="VerbatimChar"/>
        </w:rPr>
        <w:t xml:space="preserve">    auth: PQAuth;</w:t>
      </w:r>
      <w:r>
        <w:br/>
      </w:r>
      <w:r>
        <w:rPr>
          <w:rStyle w:val="VerbatimChar"/>
        </w:rPr>
        <w:t xml:space="preserve">    weight: UInt256;</w:t>
      </w:r>
      <w:r>
        <w:br/>
      </w:r>
      <w:r>
        <w:rPr>
          <w:rStyle w:val="VerbatimChar"/>
        </w:rPr>
        <w:t xml:space="preserve">    last_active: UInt256;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Arrays</w:t>
      </w:r>
      <w:r>
        <w:t xml:space="preserve"> </w:t>
      </w:r>
      <w:r>
        <w:t xml:space="preserve">are defined either as dynamic (</w:t>
      </w:r>
      <w:r>
        <w:rPr>
          <w:rStyle w:val="VerbatimChar"/>
        </w:rPr>
        <w:t xml:space="preserve">T[]</w:t>
      </w:r>
      <w:r>
        <w:t xml:space="preserve">) or</w:t>
      </w:r>
      <w:r>
        <w:t xml:space="preserve"> </w:t>
      </w:r>
      <w:r>
        <w:t xml:space="preserve">fixed‑size (</w:t>
      </w:r>
      <w:r>
        <w:rPr>
          <w:rStyle w:val="VerbatimChar"/>
        </w:rPr>
        <w:t xml:space="preserve">T[n]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T[]</w:t>
      </w:r>
      <w:r>
        <w:t xml:space="preserve"> </w:t>
      </w:r>
      <w:r>
        <w:t xml:space="preserve">can grow at runtime; operations like</w:t>
      </w:r>
      <w:r>
        <w:t xml:space="preserve"> </w:t>
      </w:r>
      <w:r>
        <w:rPr>
          <w:rStyle w:val="VerbatimChar"/>
        </w:rPr>
        <w:t xml:space="preserve">.push()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are provided in the standard library (§7.5).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T[n]</w:t>
      </w:r>
      <w:r>
        <w:t xml:space="preserve"> </w:t>
      </w:r>
      <w:r>
        <w:t xml:space="preserve">has a compile‑time constant 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. Indexing</w:t>
      </w:r>
      <w:r>
        <w:t xml:space="preserve"> </w:t>
      </w:r>
      <w:r>
        <w:t xml:space="preserve">outside the range [0, n–1] triggers a runtime revert.</w:t>
      </w:r>
    </w:p>
    <w:p>
      <w:pPr>
        <w:pStyle w:val="FirstParagraph"/>
      </w:pPr>
      <w:r>
        <w:rPr>
          <w:bCs/>
          <w:b/>
        </w:rPr>
        <w:t xml:space="preserve">Maps</w:t>
      </w:r>
      <w:r>
        <w:t xml:space="preserve"> </w:t>
      </w:r>
      <w:r>
        <w:t xml:space="preserve">associate keys with values:</w:t>
      </w:r>
      <w:r>
        <w:t xml:space="preserve"> </w:t>
      </w:r>
      <w:r>
        <w:rPr>
          <w:rStyle w:val="VerbatimChar"/>
        </w:rPr>
        <w:t xml:space="preserve">mapping&lt;K, V&gt;</w:t>
      </w:r>
      <w:r>
        <w:t xml:space="preserve">. Keys</w:t>
      </w:r>
      <w:r>
        <w:t xml:space="preserve"> </w:t>
      </w:r>
      <w:r>
        <w:t xml:space="preserve">must be of fixed‑size types (e.g.,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UInt256</w:t>
      </w:r>
      <w:r>
        <w:t xml:space="preserve">),</w:t>
      </w:r>
      <w:r>
        <w:t xml:space="preserve"> </w:t>
      </w:r>
      <w:r>
        <w:t xml:space="preserve">whereas values can be any type. Storage maps are</w:t>
      </w:r>
      <w:r>
        <w:t xml:space="preserve"> </w:t>
      </w:r>
      <w:r>
        <w:t xml:space="preserve">implemented via Merkle Patricia tries and charge gas</w:t>
      </w:r>
      <w:r>
        <w:t xml:space="preserve"> </w:t>
      </w:r>
      <w:r>
        <w:t xml:space="preserve">proportional to the size of their keys and values.</w:t>
      </w:r>
    </w:p>
    <w:bookmarkEnd w:id="25"/>
    <w:bookmarkStart w:id="26" w:name="generics-parameterised-types"/>
    <w:p>
      <w:pPr>
        <w:pStyle w:val="Heading2"/>
      </w:pPr>
      <w:r>
        <w:t xml:space="preserve">2.4 Generics &amp; Parameterised Types</w:t>
      </w:r>
    </w:p>
    <w:p>
      <w:pPr>
        <w:pStyle w:val="FirstParagraph"/>
      </w:pPr>
      <w:r>
        <w:t xml:space="preserve">Many cryptographic types are parameterised by security</w:t>
      </w:r>
      <w:r>
        <w:t xml:space="preserve"> </w:t>
      </w:r>
      <w:r>
        <w:t xml:space="preserve">levels (e.g.,</w:t>
      </w:r>
      <w:r>
        <w:t xml:space="preserve"> </w:t>
      </w:r>
      <w:r>
        <w:rPr>
          <w:rStyle w:val="VerbatimChar"/>
        </w:rPr>
        <w:t xml:space="preserve">DilithiumPublicKey&lt;3&gt;</w:t>
      </w:r>
      <w:r>
        <w:t xml:space="preserve">). SynQ extends this</w:t>
      </w:r>
      <w:r>
        <w:t xml:space="preserve"> </w:t>
      </w:r>
      <w:r>
        <w:t xml:space="preserve">idea to user‑defined structs and functions via</w:t>
      </w:r>
      <w:r>
        <w:t xml:space="preserve"> </w:t>
      </w:r>
      <w:r>
        <w:rPr>
          <w:bCs/>
          <w:b/>
        </w:rPr>
        <w:t xml:space="preserve">generics</w:t>
      </w:r>
      <w:r>
        <w:t xml:space="preserve">.</w:t>
      </w:r>
      <w:r>
        <w:t xml:space="preserve"> </w:t>
      </w:r>
      <w:r>
        <w:t xml:space="preserve">A generic type takes one or more constant parameters:</w:t>
      </w:r>
    </w:p>
    <w:p>
      <w:pPr>
        <w:pStyle w:val="SourceCode"/>
      </w:pPr>
      <w:r>
        <w:rPr>
          <w:rStyle w:val="VerbatimChar"/>
        </w:rPr>
        <w:t xml:space="preserve">struct Vec&lt;T, N: UInt256&gt; {</w:t>
      </w:r>
      <w:r>
        <w:br/>
      </w:r>
      <w:r>
        <w:rPr>
          <w:rStyle w:val="VerbatimChar"/>
        </w:rPr>
        <w:t xml:space="preserve">    data: T[N];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head&lt;T&gt;(v: Vec&lt;T, 1&gt;) -&gt; T {</w:t>
      </w:r>
      <w:r>
        <w:br/>
      </w:r>
      <w:r>
        <w:rPr>
          <w:rStyle w:val="VerbatimChar"/>
        </w:rPr>
        <w:t xml:space="preserve">    return v.data[0];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Generic parameters must be compile‑time constants. This</w:t>
      </w:r>
      <w:r>
        <w:t xml:space="preserve"> </w:t>
      </w:r>
      <w:r>
        <w:t xml:space="preserve">enables monomorphisation: the compiler emits specialised</w:t>
      </w:r>
      <w:r>
        <w:t xml:space="preserve"> </w:t>
      </w:r>
      <w:r>
        <w:t xml:space="preserve">versions of generic functions for each instantiation. There</w:t>
      </w:r>
      <w:r>
        <w:t xml:space="preserve"> </w:t>
      </w:r>
      <w:r>
        <w:t xml:space="preserve">is no runtime type information or reflection.</w:t>
      </w:r>
    </w:p>
    <w:bookmarkEnd w:id="26"/>
    <w:bookmarkStart w:id="27" w:name="functions-methods-attributes"/>
    <w:p>
      <w:pPr>
        <w:pStyle w:val="Heading2"/>
      </w:pPr>
      <w:r>
        <w:t xml:space="preserve">2.5 Functions, Methods &amp; Attributes</w:t>
      </w:r>
    </w:p>
    <w:p>
      <w:pPr>
        <w:pStyle w:val="FirstParagraph"/>
      </w:pPr>
      <w:r>
        <w:t xml:space="preserve">Functions are defined using the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keyword. They</w:t>
      </w:r>
      <w:r>
        <w:t xml:space="preserve"> </w:t>
      </w:r>
      <w:r>
        <w:t xml:space="preserve">may be annotated with attributes controlling visibility and</w:t>
      </w:r>
      <w:r>
        <w:t xml:space="preserve"> </w:t>
      </w:r>
      <w:r>
        <w:t xml:space="preserve">gas accounting. A function signature includes its name,</w:t>
      </w:r>
      <w:r>
        <w:t xml:space="preserve"> </w:t>
      </w:r>
      <w:r>
        <w:t xml:space="preserve">parameters with types, an optional return type, and a</w:t>
      </w:r>
      <w:r>
        <w:t xml:space="preserve"> </w:t>
      </w:r>
      <w:r>
        <w:t xml:space="preserve">block of statements:</w:t>
      </w:r>
    </w:p>
    <w:p>
      <w:pPr>
        <w:pStyle w:val="SourceCode"/>
      </w:pP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@gas_cost(base: 60_000, per_vote: 20_000)</w:t>
      </w:r>
      <w:r>
        <w:br/>
      </w:r>
      <w:r>
        <w:rPr>
          <w:rStyle w:val="VerbatimChar"/>
        </w:rPr>
        <w:t xml:space="preserve">function cast_vote(proposal_id: UInt256, enc_vote: KyberCiphertext&lt;768&gt;, sig: FalconSignature&lt;1024&gt;) {</w:t>
      </w:r>
      <w:r>
        <w:br/>
      </w:r>
      <w:r>
        <w:rPr>
          <w:rStyle w:val="VerbatimChar"/>
        </w:rPr>
        <w:t xml:space="preserve">    // body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Attributes begin with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and are separated by new lines.</w:t>
      </w:r>
      <w:r>
        <w:t xml:space="preserve"> </w:t>
      </w:r>
      <w:r>
        <w:t xml:space="preserve">The following attributes are predefined: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@public</w:t>
      </w:r>
      <w:r>
        <w:t xml:space="preserve">: the function can be called from outside the</w:t>
      </w:r>
      <w:r>
        <w:t xml:space="preserve"> </w:t>
      </w:r>
      <w:r>
        <w:t xml:space="preserve">contract. Unannotated functions are private to the</w:t>
      </w:r>
      <w:r>
        <w:t xml:space="preserve"> </w:t>
      </w:r>
      <w:r>
        <w:t xml:space="preserve">contract.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@gas_cost(base: N, param1: M, ...)</w:t>
      </w:r>
      <w:r>
        <w:t xml:space="preserve">: declares the gas</w:t>
      </w:r>
      <w:r>
        <w:t xml:space="preserve"> </w:t>
      </w:r>
      <w:r>
        <w:t xml:space="preserve">cost components used by the gas meter (§3.6, §6.6). It</w:t>
      </w:r>
      <w:r>
        <w:t xml:space="preserve"> </w:t>
      </w:r>
      <w:r>
        <w:t xml:space="preserve">informs the compiler about how much gas to charge for</w:t>
      </w:r>
      <w:r>
        <w:t xml:space="preserve"> </w:t>
      </w:r>
      <w:r>
        <w:t xml:space="preserve">PQC operations or dynamic loops.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@gas_limit(N)</w:t>
      </w:r>
      <w:r>
        <w:t xml:space="preserve">: enforces that a call consumes at most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gas; exceeding the limit triggers a revert.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@optimize_gas</w:t>
      </w:r>
      <w:r>
        <w:t xml:space="preserve">: hints to the compiler to generate</w:t>
      </w:r>
      <w:r>
        <w:t xml:space="preserve"> </w:t>
      </w:r>
      <w:r>
        <w:t xml:space="preserve">efficient code, enabling batch verifications (§3.5).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@hardware_accel</w:t>
      </w:r>
      <w:r>
        <w:t xml:space="preserve">: routes PQC calls through hardware</w:t>
      </w:r>
      <w:r>
        <w:t xml:space="preserve"> </w:t>
      </w:r>
      <w:r>
        <w:t xml:space="preserve">acceleration modules if available (§6.7).</w:t>
      </w:r>
    </w:p>
    <w:p>
      <w:pPr>
        <w:pStyle w:val="FirstParagraph"/>
      </w:pPr>
      <w:r>
        <w:t xml:space="preserve">Methods are functions defined inside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scopes. They have an implicit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parameter (analogous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in other languages) and operate on the state of</w:t>
      </w:r>
      <w:r>
        <w:t xml:space="preserve"> </w:t>
      </w:r>
      <w:r>
        <w:t xml:space="preserve">the enclosing instance.</w:t>
      </w:r>
    </w:p>
    <w:bookmarkEnd w:id="27"/>
    <w:bookmarkStart w:id="28" w:name="contracts-and-modules"/>
    <w:p>
      <w:pPr>
        <w:pStyle w:val="Heading2"/>
      </w:pPr>
      <w:r>
        <w:t xml:space="preserve">2.6 Contracts and Modules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contract</w:t>
      </w:r>
      <w:r>
        <w:t xml:space="preserve"> </w:t>
      </w:r>
      <w:r>
        <w:t xml:space="preserve">encapsulates state, functions, and events.</w:t>
      </w:r>
      <w:r>
        <w:t xml:space="preserve"> </w:t>
      </w:r>
      <w:r>
        <w:t xml:space="preserve">Contracts may import modules from the standard library and</w:t>
      </w:r>
      <w:r>
        <w:t xml:space="preserve"> </w:t>
      </w:r>
      <w:r>
        <w:t xml:space="preserve">reference other contracts via their addresses. Contracts</w:t>
      </w:r>
      <w:r>
        <w:t xml:space="preserve"> </w:t>
      </w:r>
      <w:r>
        <w:t xml:space="preserve">cannot inherit from each other; composition and delegation</w:t>
      </w:r>
      <w:r>
        <w:t xml:space="preserve"> </w:t>
      </w:r>
      <w:r>
        <w:t xml:space="preserve">are encouraged instead. Contracts support the following</w:t>
      </w:r>
      <w:r>
        <w:t xml:space="preserve"> </w:t>
      </w:r>
      <w:r>
        <w:t xml:space="preserve">declarations: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 variables:</w:t>
      </w:r>
      <w:r>
        <w:t xml:space="preserve"> </w:t>
      </w:r>
      <w:r>
        <w:t xml:space="preserve">persistent storage slots keyed by</w:t>
      </w:r>
      <w:r>
        <w:t xml:space="preserve"> </w:t>
      </w:r>
      <w:r>
        <w:t xml:space="preserve">names.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Events:</w:t>
      </w:r>
      <w:r>
        <w:t xml:space="preserve"> </w:t>
      </w:r>
      <w:r>
        <w:t xml:space="preserve">named logs emitted via</w:t>
      </w:r>
      <w:r>
        <w:t xml:space="preserve"> </w:t>
      </w:r>
      <w:r>
        <w:rPr>
          <w:rStyle w:val="VerbatimChar"/>
        </w:rPr>
        <w:t xml:space="preserve">emit EventName(...)</w:t>
      </w:r>
      <w:r>
        <w:t xml:space="preserve">,</w:t>
      </w:r>
      <w:r>
        <w:t xml:space="preserve"> </w:t>
      </w:r>
      <w:r>
        <w:t xml:space="preserve">indexable by external clients.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Constructor:</w:t>
      </w:r>
      <w:r>
        <w:t xml:space="preserve"> </w:t>
      </w:r>
      <w:r>
        <w:t xml:space="preserve">a special function named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executed once on deployment. It may take parameters to</w:t>
      </w:r>
      <w:r>
        <w:t xml:space="preserve"> </w:t>
      </w:r>
      <w:r>
        <w:t xml:space="preserve">initialise state.</w:t>
      </w:r>
    </w:p>
    <w:p>
      <w:pPr>
        <w:pStyle w:val="FirstParagraph"/>
      </w:pPr>
      <w:r>
        <w:t xml:space="preserve">Modules are collections of functions and types that may be</w:t>
      </w:r>
      <w:r>
        <w:t xml:space="preserve"> </w:t>
      </w:r>
      <w:r>
        <w:t xml:space="preserve">imported into contracts using</w:t>
      </w:r>
      <w:r>
        <w:t xml:space="preserve"> </w:t>
      </w:r>
      <w:r>
        <w:rPr>
          <w:rStyle w:val="VerbatimChar"/>
        </w:rPr>
        <w:t xml:space="preserve">use module_name;</w:t>
      </w:r>
      <w:r>
        <w:t xml:space="preserve">. Modules</w:t>
      </w:r>
      <w:r>
        <w:t xml:space="preserve"> </w:t>
      </w:r>
      <w:r>
        <w:t xml:space="preserve">reside in the standard library (§7).</w:t>
      </w:r>
    </w:p>
    <w:bookmarkEnd w:id="28"/>
    <w:bookmarkStart w:id="29" w:name="type-rules-inference"/>
    <w:p>
      <w:pPr>
        <w:pStyle w:val="Heading2"/>
      </w:pPr>
      <w:r>
        <w:t xml:space="preserve">2.7 Type Rules &amp; Inference</w:t>
      </w:r>
    </w:p>
    <w:p>
      <w:pPr>
        <w:pStyle w:val="FirstParagraph"/>
      </w:pPr>
      <w:r>
        <w:t xml:space="preserve">The type system enforces that expressions have unique,</w:t>
      </w:r>
      <w:r>
        <w:t xml:space="preserve"> </w:t>
      </w:r>
      <w:r>
        <w:t xml:space="preserve">statically known types. Let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be a type environment</w:t>
      </w:r>
      <w:r>
        <w:t xml:space="preserve"> </w:t>
      </w:r>
      <w:r>
        <w:t xml:space="preserve">mapping variables to types. The following judgments apply: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Variable lookup: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x: T ∈ Γ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Γ ⊢ x : 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Field access: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Γ ⊢ e : StructName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t xml:space="preserve">has type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in that struct, then</w:t>
      </w:r>
      <w:r>
        <w:t xml:space="preserve"> </w:t>
      </w:r>
      <w:r>
        <w:rPr>
          <w:rStyle w:val="VerbatimChar"/>
        </w:rPr>
        <w:t xml:space="preserve">Γ ⊢ e.field : 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Function call: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f: (T_1, …, T_n) → T_r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Γ ⊢ e_i : T_i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i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Γ ⊢ f(e_1, …, e_n) : T_r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Assignment:</w:t>
      </w:r>
      <w:r>
        <w:t xml:space="preserve"> </w:t>
      </w:r>
      <w:r>
        <w:t xml:space="preserve">variables are immutable by default;</w:t>
      </w:r>
      <w:r>
        <w:t xml:space="preserve"> </w:t>
      </w:r>
      <w:r>
        <w:t xml:space="preserve">mutable variables must be declared with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and can be</w:t>
      </w:r>
      <w:r>
        <w:t xml:space="preserve"> </w:t>
      </w:r>
      <w:r>
        <w:t xml:space="preserve">assigned exactly once per scope. Assignments require</w:t>
      </w:r>
      <w:r>
        <w:t xml:space="preserve"> </w:t>
      </w:r>
      <w:r>
        <w:t xml:space="preserve">both sides to have the same type.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Map access: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m: mapping&lt;K, V&gt;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Γ ⊢ k : K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Γ ⊢ m[k] : V</w:t>
      </w:r>
      <w:r>
        <w:t xml:space="preserve">. A missing key</w:t>
      </w:r>
      <w:r>
        <w:t xml:space="preserve"> </w:t>
      </w:r>
      <w:r>
        <w:t xml:space="preserve">yields a zero value for numeric types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</w:t>
      </w:r>
      <w:r>
        <w:t xml:space="preserve"> </w:t>
      </w:r>
      <w:r>
        <w:t xml:space="preserve">reference types.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implicit type coercion</w:t>
      </w:r>
      <w:r>
        <w:t xml:space="preserve">. For instance,</w:t>
      </w:r>
      <w:r>
        <w:t xml:space="preserve"> </w:t>
      </w:r>
      <w:r>
        <w:t xml:space="preserve">passing a</w:t>
      </w:r>
      <w:r>
        <w:t xml:space="preserve"> </w:t>
      </w:r>
      <w:r>
        <w:rPr>
          <w:rStyle w:val="VerbatimChar"/>
        </w:rPr>
        <w:t xml:space="preserve">DilithiumPublicKey&lt;3&gt;</w:t>
      </w:r>
      <w:r>
        <w:t xml:space="preserve"> </w:t>
      </w:r>
      <w:r>
        <w:t xml:space="preserve">where a</w:t>
      </w:r>
      <w:r>
        <w:t xml:space="preserve"> </w:t>
      </w:r>
      <w:r>
        <w:rPr>
          <w:rStyle w:val="VerbatimChar"/>
        </w:rPr>
        <w:t xml:space="preserve">DilithiumPublicKey&lt;5&gt;</w:t>
      </w:r>
      <w:r>
        <w:t xml:space="preserve"> </w:t>
      </w:r>
      <w:r>
        <w:t xml:space="preserve">is expected causes a compile‑time</w:t>
      </w:r>
      <w:r>
        <w:t xml:space="preserve"> </w:t>
      </w:r>
      <w:r>
        <w:t xml:space="preserve">error. Conversions must be explicit and may incur</w:t>
      </w:r>
      <w:r>
        <w:t xml:space="preserve"> </w:t>
      </w:r>
      <w:r>
        <w:t xml:space="preserve">additional gas costs.</w:t>
      </w:r>
    </w:p>
    <w:bookmarkEnd w:id="29"/>
    <w:bookmarkStart w:id="30" w:name="memory-storage-semantics"/>
    <w:p>
      <w:pPr>
        <w:pStyle w:val="Heading2"/>
      </w:pPr>
      <w:r>
        <w:t xml:space="preserve">2.8 Memory &amp; Storage Semantics</w:t>
      </w:r>
    </w:p>
    <w:p>
      <w:pPr>
        <w:pStyle w:val="FirstParagraph"/>
      </w:pPr>
      <w:r>
        <w:t xml:space="preserve">SynQ distinguishes between</w:t>
      </w:r>
      <w:r>
        <w:t xml:space="preserve"> </w:t>
      </w:r>
      <w:r>
        <w:rPr>
          <w:bCs/>
          <w:b/>
        </w:rPr>
        <w:t xml:space="preserve">memory</w:t>
      </w:r>
      <w:r>
        <w:t xml:space="preserve"> </w:t>
      </w:r>
      <w:r>
        <w:t xml:space="preserve">(ephemeral, per‑call</w:t>
      </w:r>
      <w:r>
        <w:t xml:space="preserve"> </w:t>
      </w:r>
      <w:r>
        <w:t xml:space="preserve">data) and</w:t>
      </w:r>
      <w:r>
        <w:t xml:space="preserve"> </w:t>
      </w:r>
      <w:r>
        <w:rPr>
          <w:bCs/>
          <w:b/>
        </w:rPr>
        <w:t xml:space="preserve">storage</w:t>
      </w:r>
      <w:r>
        <w:t xml:space="preserve"> </w:t>
      </w:r>
      <w:r>
        <w:t xml:space="preserve">(persistent state). Memory is</w:t>
      </w:r>
      <w:r>
        <w:t xml:space="preserve"> </w:t>
      </w:r>
      <w:r>
        <w:t xml:space="preserve">allocated on the call stack and freed when the function</w:t>
      </w:r>
      <w:r>
        <w:t xml:space="preserve"> </w:t>
      </w:r>
      <w:r>
        <w:t xml:space="preserve">returns. Storage persists across calls and transactions and</w:t>
      </w:r>
      <w:r>
        <w:t xml:space="preserve"> </w:t>
      </w:r>
      <w:r>
        <w:t xml:space="preserve">is organised into 32‑byte slots. Each write to storage</w:t>
      </w:r>
      <w:r>
        <w:t xml:space="preserve"> </w:t>
      </w:r>
      <w:r>
        <w:t xml:space="preserve">incurs a gas cost proportional to the size of the value</w:t>
      </w:r>
      <w:r>
        <w:t xml:space="preserve"> </w:t>
      </w:r>
      <w:r>
        <w:t xml:space="preserve">(§3.6). Reading from storage costs less but is not free.</w:t>
      </w:r>
    </w:p>
    <w:p>
      <w:pPr>
        <w:pStyle w:val="BodyText"/>
      </w:pPr>
      <w:r>
        <w:t xml:space="preserve">Data structures larger than one slot (e.g., maps and</w:t>
      </w:r>
      <w:r>
        <w:t xml:space="preserve"> </w:t>
      </w:r>
      <w:r>
        <w:t xml:space="preserve">dynamic arrays) are stored via Merkle tries keyed by their</w:t>
      </w:r>
      <w:r>
        <w:t xml:space="preserve"> </w:t>
      </w:r>
      <w:r>
        <w:t xml:space="preserve">hashed address and index. The cost of computing these</w:t>
      </w:r>
      <w:r>
        <w:t xml:space="preserve"> </w:t>
      </w:r>
      <w:r>
        <w:t xml:space="preserve">hashes is charged to the caller.</w:t>
      </w:r>
    </w:p>
    <w:bookmarkEnd w:id="30"/>
    <w:bookmarkStart w:id="31" w:name="error-handling-exceptions"/>
    <w:p>
      <w:pPr>
        <w:pStyle w:val="Heading2"/>
      </w:pPr>
      <w:r>
        <w:t xml:space="preserve">2.9 Error Handling &amp; Exceptions</w:t>
      </w:r>
    </w:p>
    <w:p>
      <w:pPr>
        <w:pStyle w:val="FirstParagraph"/>
      </w:pPr>
      <w:r>
        <w:t xml:space="preserve">Errors are signalled via</w:t>
      </w:r>
      <w:r>
        <w:t xml:space="preserve"> </w:t>
      </w:r>
      <w:r>
        <w:rPr>
          <w:bCs/>
          <w:b/>
        </w:rPr>
        <w:t xml:space="preserve">revert</w:t>
      </w:r>
      <w:r>
        <w:t xml:space="preserve"> </w:t>
      </w:r>
      <w:r>
        <w:t xml:space="preserve">operations. A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check evaluates an expression and aborts the</w:t>
      </w:r>
      <w:r>
        <w:t xml:space="preserve"> </w:t>
      </w:r>
      <w:r>
        <w:t xml:space="preserve">call if the expression is false. A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statement</w:t>
      </w:r>
      <w:r>
        <w:t xml:space="preserve"> </w:t>
      </w:r>
      <w:r>
        <w:t xml:space="preserve">immediately aborts with an optional error message. The</w:t>
      </w:r>
      <w:r>
        <w:t xml:space="preserve"> </w:t>
      </w:r>
      <w:r>
        <w:t xml:space="preserve">caller may catch this error at the call boundary and react</w:t>
      </w:r>
      <w:r>
        <w:t xml:space="preserve"> </w:t>
      </w:r>
      <w:r>
        <w:t xml:space="preserve">appropriately (e.g., propagating it up or refunding gas). A</w:t>
      </w:r>
      <w:r>
        <w:t xml:space="preserve"> </w:t>
      </w:r>
      <w:r>
        <w:t xml:space="preserve">failed call does not modify state; all intermediate writes</w:t>
      </w:r>
      <w:r>
        <w:t xml:space="preserve"> </w:t>
      </w:r>
      <w:r>
        <w:t xml:space="preserve">are rolled back.</w:t>
      </w:r>
    </w:p>
    <w:bookmarkEnd w:id="31"/>
    <w:bookmarkStart w:id="32" w:name="formal-semantics"/>
    <w:p>
      <w:pPr>
        <w:pStyle w:val="Heading2"/>
      </w:pPr>
      <w:r>
        <w:t xml:space="preserve">2.10 Formal Semantics</w:t>
      </w:r>
    </w:p>
    <w:p>
      <w:pPr>
        <w:pStyle w:val="FirstParagraph"/>
      </w:pPr>
      <w:r>
        <w:t xml:space="preserve">The execution of a SynQ program is defined by a small‑step</w:t>
      </w:r>
      <w:r>
        <w:t xml:space="preserve"> </w:t>
      </w:r>
      <w:r>
        <w:t xml:space="preserve">operational semantics on states</w:t>
      </w:r>
      <w:r>
        <w:t xml:space="preserve"> </w:t>
      </w:r>
      <w:r>
        <w:rPr>
          <w:rStyle w:val="VerbatimChar"/>
        </w:rPr>
        <w:t xml:space="preserve">(σ, μ, c)</w:t>
      </w:r>
      <w:r>
        <w:t xml:space="preserve"> </w:t>
      </w:r>
      <w:r>
        <w:t xml:space="preserve">where: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σ</w:t>
      </w:r>
      <w:r>
        <w:t xml:space="preserve"> </w:t>
      </w:r>
      <w:r>
        <w:t xml:space="preserve">is the storage state mapping addresses and storage</w:t>
      </w:r>
      <w:r>
        <w:t xml:space="preserve"> </w:t>
      </w:r>
      <w:r>
        <w:t xml:space="preserve">keys to values.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μ</w:t>
      </w:r>
      <w:r>
        <w:t xml:space="preserve"> </w:t>
      </w:r>
      <w:r>
        <w:t xml:space="preserve">is the memory state (stack, heap) for the current</w:t>
      </w:r>
      <w:r>
        <w:t xml:space="preserve"> </w:t>
      </w:r>
      <w:r>
        <w:t xml:space="preserve">call.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is the next command or expression to evaluate.</w:t>
      </w:r>
    </w:p>
    <w:p>
      <w:pPr>
        <w:pStyle w:val="FirstParagraph"/>
      </w:pPr>
      <w:r>
        <w:t xml:space="preserve">Evaluation proceeds via rules of the form</w:t>
      </w:r>
      <w:r>
        <w:t xml:space="preserve"> </w:t>
      </w:r>
      <w:r>
        <w:rPr>
          <w:rStyle w:val="VerbatimChar"/>
        </w:rPr>
        <w:t xml:space="preserve">⟨σ, μ, c⟩ → ⟨σ′, μ′, c′⟩</w:t>
      </w:r>
      <w:r>
        <w:t xml:space="preserve">, consuming gas in the process. If gas runs</w:t>
      </w:r>
      <w:r>
        <w:t xml:space="preserve"> </w:t>
      </w:r>
      <w:r>
        <w:t xml:space="preserve">out, the semantics enters a failure state that aborts the</w:t>
      </w:r>
      <w:r>
        <w:t xml:space="preserve"> </w:t>
      </w:r>
      <w:r>
        <w:t xml:space="preserve">call. The semantics respects</w:t>
      </w:r>
      <w:r>
        <w:t xml:space="preserve"> </w:t>
      </w:r>
      <w:r>
        <w:rPr>
          <w:bCs/>
          <w:b/>
        </w:rPr>
        <w:t xml:space="preserve">determinism</w:t>
      </w:r>
      <w:r>
        <w:t xml:space="preserve">: given the</w:t>
      </w:r>
      <w:r>
        <w:t xml:space="preserve"> </w:t>
      </w:r>
      <w:r>
        <w:t xml:space="preserve">same initial</w:t>
      </w:r>
      <w:r>
        <w:t xml:space="preserve"> </w:t>
      </w:r>
      <w:r>
        <w:rPr>
          <w:rStyle w:val="VerbatimChar"/>
        </w:rPr>
        <w:t xml:space="preserve">(σ, μ, c)</w:t>
      </w:r>
      <w:r>
        <w:t xml:space="preserve"> </w:t>
      </w:r>
      <w:r>
        <w:t xml:space="preserve">and input, the final state and</w:t>
      </w:r>
      <w:r>
        <w:t xml:space="preserve"> </w:t>
      </w:r>
      <w:r>
        <w:t xml:space="preserve">output are identical.</w:t>
      </w:r>
    </w:p>
    <w:p>
      <w:pPr>
        <w:pStyle w:val="BodyText"/>
      </w:pPr>
      <w:r>
        <w:t xml:space="preserve">For example, the rule for</w:t>
      </w:r>
      <w:r>
        <w:t xml:space="preserve"> </w:t>
      </w:r>
      <w:r>
        <w:rPr>
          <w:rStyle w:val="VerbatimChar"/>
        </w:rPr>
        <w:t xml:space="preserve">verify_dilithium</w:t>
      </w:r>
      <w:r>
        <w:t xml:space="preserve"> </w:t>
      </w:r>
      <w:r>
        <w:t xml:space="preserve">may be</w:t>
      </w:r>
      <w:r>
        <w:t xml:space="preserve"> </w:t>
      </w:r>
      <w:r>
        <w:t xml:space="preserve">expressed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a</m:t>
          </m:r>
          <m:r>
            <m:t>c</m:t>
          </m:r>
          <m:r>
            <m:t>e</m:t>
          </m:r>
          <m:r>
            <m:t>x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s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i</m:t>
              </m:r>
              <m:r>
                <m:t>g</m:t>
              </m:r>
            </m:e>
          </m:d>
          <m:r>
            <m:t>w</m:t>
          </m:r>
          <m:r>
            <m:t>e</m:t>
          </m:r>
          <m:r>
            <m:t>l</m:t>
          </m:r>
          <m:r>
            <m:t>l</m:t>
          </m:r>
          <m:r>
            <m:rPr>
              <m:sty m:val="p"/>
            </m:rPr>
            <m:t>‑</m:t>
          </m:r>
          <m:r>
            <m:t>f</m:t>
          </m:r>
          <m:r>
            <m:t>o</m:t>
          </m:r>
          <m:r>
            <m:t>r</m:t>
          </m:r>
          <m:r>
            <m:t>m</m:t>
          </m:r>
          <m:r>
            <m:t>e</m:t>
          </m:r>
          <m:r>
            <m:t>d</m:t>
          </m:r>
          <m:r>
            <m:t> </m:t>
          </m:r>
          <m:r>
            <m:t>e</m:t>
          </m:r>
          <m:r>
            <m:t>x</m:t>
          </m:r>
          <m:r>
            <m:t>t</m:t>
          </m:r>
          <m:r>
            <m:t>s</m:t>
          </m:r>
          <m:r>
            <m:t>i</m:t>
          </m:r>
          <m:r>
            <m:t>g</m:t>
          </m:r>
          <m:r>
            <m:t>v</m:t>
          </m:r>
          <m:r>
            <m:t>a</m:t>
          </m:r>
          <m:r>
            <m:t>l</m:t>
          </m:r>
          <m:r>
            <m:t>i</m:t>
          </m:r>
          <m:r>
            <m:t>d</m:t>
          </m:r>
          <m:r>
            <m:t>u</m:t>
          </m:r>
          <m:r>
            <m:t>n</m:t>
          </m:r>
          <m:r>
            <m:t>d</m:t>
          </m:r>
          <m:r>
            <m:t>e</m:t>
          </m:r>
          <m:r>
            <m:t>r</m:t>
          </m:r>
          <m:r>
            <m:t>p</m:t>
          </m:r>
          <m:r>
            <m:t>k</m:t>
          </m:r>
          <m:r>
            <m:rPr>
              <m:sty m:val="p"/>
            </m:rPr>
            <m:t>⟨</m:t>
          </m:r>
          <m:r>
            <m:t>σ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,</m:t>
          </m:r>
          <m:r>
            <m:t>e</m:t>
          </m:r>
          <m:r>
            <m:t>x</m:t>
          </m:r>
          <m:r>
            <m:t>t</m:t>
          </m:r>
          <m:r>
            <m:t>t</m:t>
          </m:r>
          <m:r>
            <m:t>t</m:t>
          </m:r>
          <m:r>
            <m:t>v</m:t>
          </m:r>
          <m:r>
            <m:t>e</m:t>
          </m:r>
          <m:r>
            <m:t>r</m:t>
          </m:r>
          <m:r>
            <m:t>i</m:t>
          </m:r>
          <m:r>
            <m:t>f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i</m:t>
          </m:r>
          <m:r>
            <m:t>l</m:t>
          </m:r>
          <m:r>
            <m:t>i</m:t>
          </m:r>
          <m:r>
            <m:t>t</m:t>
          </m:r>
          <m:r>
            <m:t>h</m:t>
          </m:r>
          <m:r>
            <m:t>i</m:t>
          </m:r>
          <m:r>
            <m:t>u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s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i</m:t>
              </m:r>
              <m:r>
                <m:t>g</m:t>
              </m:r>
            </m:e>
          </m:d>
          <m:r>
            <m:t>a</m:t>
          </m:r>
          <m:r>
            <m:t>n</m:t>
          </m:r>
          <m:r>
            <m:t>g</m:t>
          </m:r>
          <m:r>
            <m:t>l</m:t>
          </m:r>
          <m:r>
            <m:t>e</m:t>
          </m:r>
          <m:limLow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g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p</m:t>
                  </m:r>
                  <m:r>
                    <m:t>q</m:t>
                  </m:r>
                  <m:r>
                    <m:t>c</m:t>
                  </m:r>
                </m:sub>
              </m:sSub>
            </m:lim>
          </m:limLow>
          <m:r>
            <m:rPr>
              <m:sty m:val="p"/>
            </m:rPr>
            <m:t>⟨</m:t>
          </m:r>
          <m:r>
            <m:t>σ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,</m:t>
          </m:r>
          <m:r>
            <m:t>e</m:t>
          </m:r>
          <m:r>
            <m:t>x</m:t>
          </m:r>
          <m:r>
            <m:t>t</m:t>
          </m:r>
          <m:r>
            <m:t>t</m:t>
          </m:r>
          <m:r>
            <m:t>t</m:t>
          </m:r>
          <m:r>
            <m:t>t</m:t>
          </m:r>
          <m:r>
            <m:t>r</m:t>
          </m:r>
          <m:r>
            <m:t>u</m:t>
          </m:r>
          <m:r>
            <m:t>e</m:t>
          </m:r>
          <m:r>
            <m:t>a</m:t>
          </m:r>
          <m:r>
            <m:t>n</m:t>
          </m:r>
          <m:r>
            <m:t>g</m:t>
          </m:r>
          <m:r>
            <m:t>l</m:t>
          </m:r>
          <m:r>
            <m:t>e</m:t>
          </m:r>
          <m:r>
            <m:t> </m:t>
          </m:r>
          <m:r>
            <m:t>r</m:t>
          </m:r>
          <m:r>
            <m:t>a</m:t>
          </m:r>
          <m:r>
            <m:t>c</m:t>
          </m:r>
          <m:r>
            <m:t>e</m:t>
          </m:r>
          <m:r>
            <m:t>x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s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i</m:t>
              </m:r>
              <m:r>
                <m:t>g</m:t>
              </m:r>
            </m:e>
          </m:d>
          <m:r>
            <m:t>w</m:t>
          </m:r>
          <m:r>
            <m:t>e</m:t>
          </m:r>
          <m:r>
            <m:t>l</m:t>
          </m:r>
          <m:r>
            <m:t>l</m:t>
          </m:r>
          <m:r>
            <m:rPr>
              <m:sty m:val="p"/>
            </m:rPr>
            <m:t>‑</m:t>
          </m:r>
          <m:r>
            <m:t>f</m:t>
          </m:r>
          <m:r>
            <m:t>o</m:t>
          </m:r>
          <m:r>
            <m:t>r</m:t>
          </m:r>
          <m:r>
            <m:t>m</m:t>
          </m:r>
          <m:r>
            <m:t>e</m:t>
          </m:r>
          <m:r>
            <m:t>d</m:t>
          </m:r>
          <m:r>
            <m:t> </m:t>
          </m:r>
          <m:r>
            <m:t>e</m:t>
          </m:r>
          <m:r>
            <m:t>x</m:t>
          </m:r>
          <m:r>
            <m:t>t</m:t>
          </m:r>
          <m:r>
            <m:t>s</m:t>
          </m:r>
          <m:r>
            <m:t>i</m:t>
          </m:r>
          <m:r>
            <m:t>g</m:t>
          </m:r>
          <m:r>
            <m:t>i</m:t>
          </m:r>
          <m:r>
            <m:t>n</m:t>
          </m:r>
          <m:r>
            <m:t>v</m:t>
          </m:r>
          <m:r>
            <m:t>a</m:t>
          </m:r>
          <m:r>
            <m:t>l</m:t>
          </m:r>
          <m:r>
            <m:t>i</m:t>
          </m:r>
          <m:r>
            <m:t>d</m:t>
          </m:r>
          <m:r>
            <m:rPr>
              <m:sty m:val="p"/>
            </m:rPr>
            <m:t>⟨</m:t>
          </m:r>
          <m:r>
            <m:t>σ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,</m:t>
          </m:r>
          <m:r>
            <m:t>e</m:t>
          </m:r>
          <m:r>
            <m:t>x</m:t>
          </m:r>
          <m:r>
            <m:t>t</m:t>
          </m:r>
          <m:r>
            <m:t>t</m:t>
          </m:r>
          <m:r>
            <m:t>t</m:t>
          </m:r>
          <m:r>
            <m:t>v</m:t>
          </m:r>
          <m:r>
            <m:t>e</m:t>
          </m:r>
          <m:r>
            <m:t>r</m:t>
          </m:r>
          <m:r>
            <m:t>i</m:t>
          </m:r>
          <m:r>
            <m:t>f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i</m:t>
          </m:r>
          <m:r>
            <m:t>l</m:t>
          </m:r>
          <m:r>
            <m:t>i</m:t>
          </m:r>
          <m:r>
            <m:t>t</m:t>
          </m:r>
          <m:r>
            <m:t>h</m:t>
          </m:r>
          <m:r>
            <m:t>i</m:t>
          </m:r>
          <m:r>
            <m:t>u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s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i</m:t>
              </m:r>
              <m:r>
                <m:t>g</m:t>
              </m:r>
            </m:e>
          </m:d>
          <m:r>
            <m:t>a</m:t>
          </m:r>
          <m:r>
            <m:t>n</m:t>
          </m:r>
          <m:r>
            <m:t>g</m:t>
          </m:r>
          <m:r>
            <m:t>l</m:t>
          </m:r>
          <m:r>
            <m:t>e</m:t>
          </m:r>
          <m:limLow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g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p</m:t>
                  </m:r>
                  <m:r>
                    <m:t>q</m:t>
                  </m:r>
                  <m:r>
                    <m:t>c</m:t>
                  </m:r>
                </m:sub>
              </m:sSub>
            </m:lim>
          </m:limLow>
          <m:r>
            <m:rPr>
              <m:sty m:val="p"/>
            </m:rPr>
            <m:t>⟨</m:t>
          </m:r>
          <m:r>
            <m:t>σ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,</m:t>
          </m:r>
          <m:r>
            <m:t>e</m:t>
          </m:r>
          <m:r>
            <m:t>x</m:t>
          </m:r>
          <m:r>
            <m:t>t</m:t>
          </m:r>
          <m:r>
            <m:t>t</m:t>
          </m:r>
          <m:r>
            <m:t>t</m:t>
          </m:r>
          <m:r>
            <m:t>f</m:t>
          </m:r>
          <m:r>
            <m:t>a</m:t>
          </m:r>
          <m:r>
            <m:t>l</m:t>
          </m:r>
          <m:r>
            <m:t>s</m:t>
          </m:r>
          <m:r>
            <m:t>e</m:t>
          </m:r>
          <m:r>
            <m:t>a</m:t>
          </m:r>
          <m:r>
            <m:t>n</m:t>
          </m:r>
          <m:r>
            <m:t>g</m:t>
          </m:r>
          <m:r>
            <m:t>l</m:t>
          </m:r>
          <m:r>
            <m:t>e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g_{pqc}</w:t>
      </w:r>
      <w:r>
        <w:t xml:space="preserve"> </w:t>
      </w:r>
      <w:r>
        <w:t xml:space="preserve">is the gas cost for the verification as</w:t>
      </w:r>
      <w:r>
        <w:t xml:space="preserve"> </w:t>
      </w:r>
      <w:r>
        <w:t xml:space="preserve">defined in §3.6. Similar rules exist for other built‑ins.</w:t>
      </w:r>
    </w:p>
    <w:bookmarkEnd w:id="32"/>
    <w:bookmarkStart w:id="33" w:name="typing-safety-theorems"/>
    <w:p>
      <w:pPr>
        <w:pStyle w:val="Heading2"/>
      </w:pPr>
      <w:r>
        <w:t xml:space="preserve">2.11 Typing &amp; Safety Theorems</w:t>
      </w:r>
    </w:p>
    <w:p>
      <w:pPr>
        <w:pStyle w:val="FirstParagraph"/>
      </w:pPr>
      <w:r>
        <w:rPr>
          <w:bCs/>
          <w:b/>
        </w:rPr>
        <w:t xml:space="preserve">Progress:</w:t>
      </w:r>
      <w:r>
        <w:t xml:space="preserve"> </w:t>
      </w:r>
      <w:r>
        <w:t xml:space="preserve">Well‑typed programs either evaluate to a</w:t>
      </w:r>
      <w:r>
        <w:t xml:space="preserve"> </w:t>
      </w:r>
      <w:r>
        <w:t xml:space="preserve">value, run forever (e.g., loops with available gas), or</w:t>
      </w:r>
      <w:r>
        <w:t xml:space="preserve"> </w:t>
      </w:r>
      <w:r>
        <w:t xml:space="preserve">revert with a defined error. Ill‑typed programs cannot be</w:t>
      </w:r>
      <w:r>
        <w:t xml:space="preserve"> </w:t>
      </w:r>
      <w:r>
        <w:t xml:space="preserve">compiled.</w:t>
      </w:r>
    </w:p>
    <w:p>
      <w:pPr>
        <w:pStyle w:val="BodyText"/>
      </w:pPr>
      <w:r>
        <w:rPr>
          <w:bCs/>
          <w:b/>
        </w:rPr>
        <w:t xml:space="preserve">Preservation: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Γ ⊢ c : 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⟨σ, μ, c⟩ → \* ⟨σ′, μ′, c′⟩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Γ ⊢ c′ : T</w:t>
      </w:r>
      <w:r>
        <w:t xml:space="preserve">. Types are preserved under</w:t>
      </w:r>
      <w:r>
        <w:t xml:space="preserve"> </w:t>
      </w:r>
      <w:r>
        <w:t xml:space="preserve">evaluation, ensuring that run‑time type errors cannot occur.</w:t>
      </w:r>
    </w:p>
    <w:p>
      <w:pPr>
        <w:pStyle w:val="BodyText"/>
      </w:pPr>
      <w:r>
        <w:rPr>
          <w:bCs/>
          <w:b/>
        </w:rPr>
        <w:t xml:space="preserve">Determinism:</w:t>
      </w:r>
      <w:r>
        <w:t xml:space="preserve"> </w:t>
      </w:r>
      <w:r>
        <w:t xml:space="preserve">Given a fixed</w:t>
      </w:r>
      <w:r>
        <w:t xml:space="preserve"> </w:t>
      </w:r>
      <w:r>
        <w:rPr>
          <w:rStyle w:val="VerbatimChar"/>
        </w:rPr>
        <w:t xml:space="preserve">σ</w:t>
      </w:r>
      <w:r>
        <w:t xml:space="preserve">,</w:t>
      </w:r>
      <w:r>
        <w:t xml:space="preserve"> </w:t>
      </w:r>
      <w:r>
        <w:rPr>
          <w:rStyle w:val="VerbatimChar"/>
        </w:rPr>
        <w:t xml:space="preserve">μ</w:t>
      </w:r>
      <w:r>
        <w:t xml:space="preserve">, and call data,</w:t>
      </w:r>
      <w:r>
        <w:t xml:space="preserve"> </w:t>
      </w:r>
      <w:r>
        <w:t xml:space="preserve">evaluation is deterministic. There are no race</w:t>
      </w:r>
      <w:r>
        <w:t xml:space="preserve"> </w:t>
      </w:r>
      <w:r>
        <w:t xml:space="preserve">conditions because SynQ does not expose threads or</w:t>
      </w:r>
      <w:r>
        <w:t xml:space="preserve"> </w:t>
      </w:r>
      <w:r>
        <w:t xml:space="preserve">nondeterministic primitives. Concurrency is expressed via</w:t>
      </w:r>
      <w:r>
        <w:t xml:space="preserve"> </w:t>
      </w:r>
      <w:r>
        <w:t xml:space="preserve">explicit batching and gas‑limited blocks (§4.5).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est.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est.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2025-10-18T01:19:32Z</dcterms:created>
  <dcterms:modified xsi:type="dcterms:W3CDTF">2025-10-18T01:19:32Z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