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95FD" w14:textId="77777777" w:rsidR="006D5E3C" w:rsidRPr="006D5E3C" w:rsidRDefault="006D5E3C" w:rsidP="006D5E3C">
      <w:pPr>
        <w:spacing w:after="0" w:line="240" w:lineRule="auto"/>
        <w:outlineLvl w:val="0"/>
        <w:rPr>
          <w:rFonts w:ascii="Quantico" w:eastAsia="Times New Roman" w:hAnsi="Quantico" w:cs="Times New Roman"/>
          <w:b/>
          <w:bCs/>
          <w:kern w:val="36"/>
          <w:sz w:val="40"/>
          <w:szCs w:val="40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36"/>
          <w:sz w:val="40"/>
          <w:szCs w:val="40"/>
          <w14:ligatures w14:val="none"/>
        </w:rPr>
        <w:t>Synergy Network</w:t>
      </w:r>
    </w:p>
    <w:p w14:paraId="41FE174B" w14:textId="77777777" w:rsidR="006D5E3C" w:rsidRDefault="006D5E3C" w:rsidP="006D5E3C">
      <w:pPr>
        <w:spacing w:after="0" w:line="240" w:lineRule="auto"/>
        <w:outlineLvl w:val="0"/>
        <w:rPr>
          <w:rFonts w:ascii="Quantico" w:eastAsia="Times New Roman" w:hAnsi="Quantico" w:cs="Times New Roman"/>
          <w:b/>
          <w:bCs/>
          <w:kern w:val="36"/>
          <w:sz w:val="40"/>
          <w:szCs w:val="40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36"/>
          <w:sz w:val="40"/>
          <w:szCs w:val="40"/>
          <w14:ligatures w14:val="none"/>
        </w:rPr>
        <w:t xml:space="preserve">SynQ Smart-Contract Language &amp; </w:t>
      </w:r>
    </w:p>
    <w:p w14:paraId="6A160D20" w14:textId="52B69850" w:rsidR="006D5E3C" w:rsidRPr="006D5E3C" w:rsidRDefault="006D5E3C" w:rsidP="006D5E3C">
      <w:pPr>
        <w:spacing w:after="0" w:line="240" w:lineRule="auto"/>
        <w:outlineLvl w:val="0"/>
        <w:rPr>
          <w:rFonts w:ascii="Quantico" w:eastAsia="Times New Roman" w:hAnsi="Quantico" w:cs="Times New Roman"/>
          <w:b/>
          <w:bCs/>
          <w:kern w:val="36"/>
          <w:sz w:val="40"/>
          <w:szCs w:val="40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36"/>
          <w:sz w:val="40"/>
          <w:szCs w:val="40"/>
          <w14:ligatures w14:val="none"/>
        </w:rPr>
        <w:t>Virtual Machine Lite Whitepaper</w:t>
      </w:r>
    </w:p>
    <w:p w14:paraId="6B027C82" w14:textId="77777777" w:rsidR="006D5E3C" w:rsidRPr="006D5E3C" w:rsidRDefault="006D5E3C" w:rsidP="006D5E3C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1. Executive Summary</w:t>
      </w:r>
    </w:p>
    <w:p w14:paraId="596F790B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SynQ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is Synergy Network’s proprietary </w:t>
      </w: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post-quantum smart-contract language and virtual machine</w:t>
      </w:r>
      <w:r w:rsidRPr="006D5E3C">
        <w:rPr>
          <w:rFonts w:ascii="Inter" w:eastAsia="Times New Roman" w:hAnsi="Inter" w:cs="Times New Roman"/>
          <w:kern w:val="0"/>
          <w14:ligatures w14:val="none"/>
        </w:rPr>
        <w:t>, designed to power the next generation of decentralized applications (dApps) in a multi-chain, quantum-secure world.</w:t>
      </w:r>
    </w:p>
    <w:p w14:paraId="2483718A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While most blockchains rely on legacy execution environments originally built for pre-quantum cryptography, SynQ introduces a clean-slate architecture—one purpose-built to integrate </w:t>
      </w: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quantum-resistant cryptography, deterministic interoperability, and formal verification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directly into its language and runtime.</w:t>
      </w:r>
    </w:p>
    <w:p w14:paraId="61A78D1A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>Developers can build secure, composable applications that operate across chains through Synergy’s interoperability layer, while users benefit from performance, transparency, and future-proof security—all natively embedded within the Synergy protocol.</w:t>
      </w:r>
    </w:p>
    <w:p w14:paraId="73DD13B5" w14:textId="77777777" w:rsidR="006D5E3C" w:rsidRPr="006D5E3C" w:rsidRDefault="00E44920" w:rsidP="006D5E3C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E44920">
        <w:rPr>
          <w:rFonts w:ascii="Inter" w:eastAsia="Times New Roman" w:hAnsi="Inter" w:cs="Times New Roman"/>
          <w:noProof/>
          <w:kern w:val="0"/>
        </w:rPr>
        <w:pict w14:anchorId="0CAEA7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349EADD" w14:textId="77777777" w:rsidR="006D5E3C" w:rsidRPr="006D5E3C" w:rsidRDefault="006D5E3C" w:rsidP="006D5E3C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2. Problem Statement: Legacy Smart-Contract Limitations</w:t>
      </w:r>
    </w:p>
    <w:p w14:paraId="45C3C72C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>Existing smart-contract systems (e.g., EVM-based and WASM-based environments) face fundamental issues that hinder scalability, interoperability, and long-term security:</w:t>
      </w:r>
    </w:p>
    <w:p w14:paraId="02BCC73F" w14:textId="77777777" w:rsidR="006D5E3C" w:rsidRPr="006D5E3C" w:rsidRDefault="006D5E3C" w:rsidP="006D5E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Quantum Vulnerability: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Contracts depend on classical cryptographic primitives soon to be obsolete.</w:t>
      </w:r>
    </w:p>
    <w:p w14:paraId="1F34615A" w14:textId="77777777" w:rsidR="006D5E3C" w:rsidRPr="006D5E3C" w:rsidRDefault="006D5E3C" w:rsidP="006D5E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Limited Formal Security: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Many contract languages make verification difficult, leading to exploits and costly errors.</w:t>
      </w:r>
    </w:p>
    <w:p w14:paraId="37878CA5" w14:textId="77777777" w:rsidR="006D5E3C" w:rsidRPr="006D5E3C" w:rsidRDefault="006D5E3C" w:rsidP="006D5E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Interoperability Barriers: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Cross-chain interactions often rely on insecure wrappers or centralized bridges.</w:t>
      </w:r>
    </w:p>
    <w:p w14:paraId="662B6357" w14:textId="77777777" w:rsidR="006D5E3C" w:rsidRPr="006D5E3C" w:rsidRDefault="006D5E3C" w:rsidP="006D5E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Inefficient Execution: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Virtual machines designed over a decade ago are not optimized for modern cryptographic workloads.</w:t>
      </w:r>
    </w:p>
    <w:p w14:paraId="298EF2CC" w14:textId="77777777" w:rsidR="006D5E3C" w:rsidRPr="006D5E3C" w:rsidRDefault="006D5E3C" w:rsidP="006D5E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Developer Fragmentation: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Each blockchain ecosystem requires different toolchains, languages, and SDKs.</w:t>
      </w:r>
    </w:p>
    <w:p w14:paraId="6C054F0D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>Without re-engineering the smart-contract layer itself, these limitations cannot be fixed by upgrades or patches.</w:t>
      </w:r>
    </w:p>
    <w:p w14:paraId="22B6A8D9" w14:textId="77777777" w:rsidR="006D5E3C" w:rsidRPr="006D5E3C" w:rsidRDefault="00E44920" w:rsidP="006D5E3C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E44920">
        <w:rPr>
          <w:rFonts w:ascii="Inter" w:eastAsia="Times New Roman" w:hAnsi="Inter" w:cs="Times New Roman"/>
          <w:noProof/>
          <w:kern w:val="0"/>
        </w:rPr>
        <w:pict w14:anchorId="40325FB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DBDCCA2" w14:textId="77777777" w:rsidR="006D5E3C" w:rsidRDefault="006D5E3C">
      <w:pPr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547861BA" w14:textId="2AB931F2" w:rsidR="006D5E3C" w:rsidRPr="006D5E3C" w:rsidRDefault="006D5E3C" w:rsidP="006D5E3C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lastRenderedPageBreak/>
        <w:t>3. The Synergy Solution: SynQ — Secure by Design</w:t>
      </w:r>
    </w:p>
    <w:p w14:paraId="2949EEB2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SynQ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introduces an entirely new programming and execution environment purpose-built for Synergy’s quantum-secure ecosystem.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It merges the safety of formally verifiable language design with the flexibility and developer familiarity of modern contract frameworks.</w:t>
      </w:r>
    </w:p>
    <w:p w14:paraId="1456D924" w14:textId="77777777" w:rsidR="006D5E3C" w:rsidRPr="006D5E3C" w:rsidRDefault="006D5E3C" w:rsidP="006D5E3C">
      <w:pPr>
        <w:spacing w:before="100" w:beforeAutospacing="1" w:after="100" w:afterAutospacing="1" w:line="240" w:lineRule="auto"/>
        <w:outlineLvl w:val="3"/>
        <w:rPr>
          <w:rFonts w:ascii="Inter" w:eastAsia="Times New Roman" w:hAnsi="Inter" w:cs="Times New Roman"/>
          <w:b/>
          <w:bCs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Core Design Concepts (Non-Enabling Overview)</w:t>
      </w:r>
    </w:p>
    <w:p w14:paraId="62D4EF93" w14:textId="77777777" w:rsidR="006D5E3C" w:rsidRPr="006D5E3C" w:rsidRDefault="006D5E3C" w:rsidP="006D5E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Quantum-Safe Foundations: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All contract authentication, message signing, and verification routines use Synergy’s Aegis PQC Core by default, ensuring resistance against both classical and quantum attacks.</w:t>
      </w:r>
    </w:p>
    <w:p w14:paraId="1DF7CEC5" w14:textId="77777777" w:rsidR="006D5E3C" w:rsidRPr="006D5E3C" w:rsidRDefault="006D5E3C" w:rsidP="006D5E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Deterministic Cross-Chain Execution: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Through integration with the Synergy Cross-Chain Protocol (SXCP), SynQ contracts can safely trigger or respond to events on external blockchains without exposing private keys or creating wrapped assets.</w:t>
      </w:r>
    </w:p>
    <w:p w14:paraId="46C4126A" w14:textId="77777777" w:rsidR="006D5E3C" w:rsidRPr="006D5E3C" w:rsidRDefault="006D5E3C" w:rsidP="006D5E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Formal Verification &amp; Security Models: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SynQ’s syntax and semantics are designed for rigorous security auditing—allowing contracts to be mathematically proven correct before deployment.</w:t>
      </w:r>
    </w:p>
    <w:p w14:paraId="6B0344D9" w14:textId="77777777" w:rsidR="006D5E3C" w:rsidRPr="006D5E3C" w:rsidRDefault="006D5E3C" w:rsidP="006D5E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Unified Developer Framework: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Developers can deploy on Synergy once and interact with multiple external networks via a single toolkit and universal address model.</w:t>
      </w:r>
    </w:p>
    <w:p w14:paraId="77751896" w14:textId="77777777" w:rsidR="006D5E3C" w:rsidRPr="006D5E3C" w:rsidRDefault="006D5E3C" w:rsidP="006D5E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Optimized Virtual Machine (Quantum-Aware Runtime):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The SynQ Virtual Machine (SVM) interprets smart-contract logic efficiently under PQC operations, balancing security with high throughput.</w:t>
      </w:r>
    </w:p>
    <w:p w14:paraId="623D37F0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>Through SynQ, Synergy delivers a secure and interoperable development ecosystem that anticipates the challenges of tomorrow’s cryptographic landscape.</w:t>
      </w:r>
    </w:p>
    <w:p w14:paraId="6197DF5B" w14:textId="77777777" w:rsidR="006D5E3C" w:rsidRPr="006D5E3C" w:rsidRDefault="00E44920" w:rsidP="006D5E3C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E44920">
        <w:rPr>
          <w:rFonts w:ascii="Inter" w:eastAsia="Times New Roman" w:hAnsi="Inter" w:cs="Times New Roman"/>
          <w:noProof/>
          <w:kern w:val="0"/>
        </w:rPr>
        <w:pict w14:anchorId="41F7A40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6098DA" w14:textId="77777777" w:rsidR="006D5E3C" w:rsidRPr="006D5E3C" w:rsidRDefault="006D5E3C" w:rsidP="006D5E3C">
      <w:pPr>
        <w:spacing w:before="100" w:beforeAutospacing="1" w:after="100" w:afterAutospacing="1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4. Competitive Edge</w:t>
      </w:r>
    </w:p>
    <w:tbl>
      <w:tblPr>
        <w:tblStyle w:val="ListTable4"/>
        <w:tblW w:w="11070" w:type="dxa"/>
        <w:tblInd w:w="-815" w:type="dxa"/>
        <w:tblLook w:val="04A0" w:firstRow="1" w:lastRow="0" w:firstColumn="1" w:lastColumn="0" w:noHBand="0" w:noVBand="1"/>
      </w:tblPr>
      <w:tblGrid>
        <w:gridCol w:w="5400"/>
        <w:gridCol w:w="5670"/>
      </w:tblGrid>
      <w:tr w:rsidR="006D5E3C" w:rsidRPr="006D5E3C" w14:paraId="3AD1BE9D" w14:textId="77777777" w:rsidTr="006D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vAlign w:val="center"/>
            <w:hideMark/>
          </w:tcPr>
          <w:p w14:paraId="06D4A12A" w14:textId="77777777" w:rsidR="006D5E3C" w:rsidRPr="006D5E3C" w:rsidRDefault="006D5E3C" w:rsidP="006D5E3C">
            <w:pPr>
              <w:rPr>
                <w:rFonts w:ascii="Quantico" w:eastAsia="Times New Roman" w:hAnsi="Quantico" w:cs="Times New Roman"/>
                <w:kern w:val="0"/>
                <w14:ligatures w14:val="none"/>
              </w:rPr>
            </w:pPr>
            <w:r w:rsidRPr="006D5E3C">
              <w:rPr>
                <w:rFonts w:ascii="Quantico" w:eastAsia="Times New Roman" w:hAnsi="Quantico" w:cs="Times New Roman"/>
                <w:kern w:val="0"/>
                <w14:ligatures w14:val="none"/>
              </w:rPr>
              <w:t>Limitation in Existing Platforms</w:t>
            </w:r>
          </w:p>
        </w:tc>
        <w:tc>
          <w:tcPr>
            <w:tcW w:w="5670" w:type="dxa"/>
            <w:vAlign w:val="center"/>
            <w:hideMark/>
          </w:tcPr>
          <w:p w14:paraId="2637840D" w14:textId="77777777" w:rsidR="006D5E3C" w:rsidRPr="006D5E3C" w:rsidRDefault="006D5E3C" w:rsidP="006D5E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antico" w:eastAsia="Times New Roman" w:hAnsi="Quantico" w:cs="Times New Roman"/>
                <w:kern w:val="0"/>
                <w14:ligatures w14:val="none"/>
              </w:rPr>
            </w:pPr>
            <w:r w:rsidRPr="006D5E3C">
              <w:rPr>
                <w:rFonts w:ascii="Quantico" w:eastAsia="Times New Roman" w:hAnsi="Quantico" w:cs="Times New Roman"/>
                <w:kern w:val="0"/>
                <w14:ligatures w14:val="none"/>
              </w:rPr>
              <w:t>SynQ Advantage</w:t>
            </w:r>
          </w:p>
        </w:tc>
      </w:tr>
      <w:tr w:rsidR="006D5E3C" w:rsidRPr="006D5E3C" w14:paraId="7BA65923" w14:textId="77777777" w:rsidTr="006D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vAlign w:val="center"/>
            <w:hideMark/>
          </w:tcPr>
          <w:p w14:paraId="1B8A6959" w14:textId="77777777" w:rsidR="006D5E3C" w:rsidRPr="006D5E3C" w:rsidRDefault="006D5E3C" w:rsidP="006D5E3C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Smart-contracts use classical ECDSA or Ed25519 signatures</w:t>
            </w:r>
          </w:p>
        </w:tc>
        <w:tc>
          <w:tcPr>
            <w:tcW w:w="5670" w:type="dxa"/>
            <w:vAlign w:val="center"/>
            <w:hideMark/>
          </w:tcPr>
          <w:p w14:paraId="27F84CC8" w14:textId="77777777" w:rsidR="006D5E3C" w:rsidRPr="006D5E3C" w:rsidRDefault="006D5E3C" w:rsidP="006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Native post-quantum cryptographic integration</w:t>
            </w:r>
          </w:p>
        </w:tc>
      </w:tr>
      <w:tr w:rsidR="006D5E3C" w:rsidRPr="006D5E3C" w14:paraId="217B322A" w14:textId="77777777" w:rsidTr="006D5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vAlign w:val="center"/>
            <w:hideMark/>
          </w:tcPr>
          <w:p w14:paraId="37B694AB" w14:textId="77777777" w:rsidR="006D5E3C" w:rsidRPr="006D5E3C" w:rsidRDefault="006D5E3C" w:rsidP="006D5E3C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Manual or external formal verification tools</w:t>
            </w:r>
          </w:p>
        </w:tc>
        <w:tc>
          <w:tcPr>
            <w:tcW w:w="5670" w:type="dxa"/>
            <w:vAlign w:val="center"/>
            <w:hideMark/>
          </w:tcPr>
          <w:p w14:paraId="72722ED2" w14:textId="77777777" w:rsidR="006D5E3C" w:rsidRPr="006D5E3C" w:rsidRDefault="006D5E3C" w:rsidP="006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Built-in verifiability and compile-time safety</w:t>
            </w:r>
          </w:p>
        </w:tc>
      </w:tr>
      <w:tr w:rsidR="006D5E3C" w:rsidRPr="006D5E3C" w14:paraId="155CEE00" w14:textId="77777777" w:rsidTr="006D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vAlign w:val="center"/>
            <w:hideMark/>
          </w:tcPr>
          <w:p w14:paraId="0E40431D" w14:textId="77777777" w:rsidR="006D5E3C" w:rsidRPr="006D5E3C" w:rsidRDefault="006D5E3C" w:rsidP="006D5E3C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No native cross-chain capability</w:t>
            </w:r>
          </w:p>
        </w:tc>
        <w:tc>
          <w:tcPr>
            <w:tcW w:w="5670" w:type="dxa"/>
            <w:vAlign w:val="center"/>
            <w:hideMark/>
          </w:tcPr>
          <w:p w14:paraId="525B5872" w14:textId="77777777" w:rsidR="006D5E3C" w:rsidRPr="006D5E3C" w:rsidRDefault="006D5E3C" w:rsidP="006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Direct integration with Synergy Cross-Chain Protocol</w:t>
            </w:r>
          </w:p>
        </w:tc>
      </w:tr>
      <w:tr w:rsidR="006D5E3C" w:rsidRPr="006D5E3C" w14:paraId="250FBA1F" w14:textId="77777777" w:rsidTr="006D5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vAlign w:val="center"/>
            <w:hideMark/>
          </w:tcPr>
          <w:p w14:paraId="29232EA6" w14:textId="77777777" w:rsidR="006D5E3C" w:rsidRPr="006D5E3C" w:rsidRDefault="006D5E3C" w:rsidP="006D5E3C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Fragmented languages and toolchains</w:t>
            </w:r>
          </w:p>
        </w:tc>
        <w:tc>
          <w:tcPr>
            <w:tcW w:w="5670" w:type="dxa"/>
            <w:vAlign w:val="center"/>
            <w:hideMark/>
          </w:tcPr>
          <w:p w14:paraId="45C15612" w14:textId="77777777" w:rsidR="006D5E3C" w:rsidRPr="006D5E3C" w:rsidRDefault="006D5E3C" w:rsidP="006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Unified framework with broad interoperability</w:t>
            </w:r>
          </w:p>
        </w:tc>
      </w:tr>
      <w:tr w:rsidR="006D5E3C" w:rsidRPr="006D5E3C" w14:paraId="73DAFB7E" w14:textId="77777777" w:rsidTr="006D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vAlign w:val="center"/>
            <w:hideMark/>
          </w:tcPr>
          <w:p w14:paraId="6763F8F9" w14:textId="77777777" w:rsidR="006D5E3C" w:rsidRPr="006D5E3C" w:rsidRDefault="006D5E3C" w:rsidP="006D5E3C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High gas costs and latency</w:t>
            </w:r>
          </w:p>
        </w:tc>
        <w:tc>
          <w:tcPr>
            <w:tcW w:w="5670" w:type="dxa"/>
            <w:vAlign w:val="center"/>
            <w:hideMark/>
          </w:tcPr>
          <w:p w14:paraId="01534DC4" w14:textId="77777777" w:rsidR="006D5E3C" w:rsidRPr="006D5E3C" w:rsidRDefault="006D5E3C" w:rsidP="006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D5E3C">
              <w:rPr>
                <w:rFonts w:ascii="Inter" w:eastAsia="Times New Roman" w:hAnsi="Inter" w:cs="Times New Roman"/>
                <w:kern w:val="0"/>
                <w14:ligatures w14:val="none"/>
              </w:rPr>
              <w:t>Optimized runtime for PQC operations and fast finality</w:t>
            </w:r>
          </w:p>
        </w:tc>
      </w:tr>
    </w:tbl>
    <w:p w14:paraId="32EEFFD2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SynQ transforms smart contracts from simple scripts into </w:t>
      </w: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formally secure, cross-chain applications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ready for institutional-grade adoption.</w:t>
      </w:r>
    </w:p>
    <w:p w14:paraId="15D8E1A6" w14:textId="77777777" w:rsidR="006D5E3C" w:rsidRPr="006D5E3C" w:rsidRDefault="00E44920" w:rsidP="006D5E3C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E44920">
        <w:rPr>
          <w:rFonts w:ascii="Inter" w:eastAsia="Times New Roman" w:hAnsi="Inter" w:cs="Times New Roman"/>
          <w:noProof/>
          <w:kern w:val="0"/>
        </w:rPr>
        <w:pict w14:anchorId="03F98F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556649" w14:textId="77777777" w:rsidR="006D5E3C" w:rsidRPr="006D5E3C" w:rsidRDefault="006D5E3C" w:rsidP="006D5E3C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lastRenderedPageBreak/>
        <w:t>5. Business &amp; Investment Relevance</w:t>
      </w:r>
    </w:p>
    <w:p w14:paraId="3341D536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>The SynQ environment is what will drive Synergy Network’s application layer—the layer investors and users will see in real-world use cases.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By enabling secure, quantum-resistant smart contracts that can interact across multiple blockchains, SynQ opens the door to:</w:t>
      </w:r>
    </w:p>
    <w:p w14:paraId="7F9D5886" w14:textId="77777777" w:rsidR="006D5E3C" w:rsidRPr="006D5E3C" w:rsidRDefault="006D5E3C" w:rsidP="006D5E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Enterprise-grade DeFi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operating safely under future cryptographic standards.</w:t>
      </w:r>
    </w:p>
    <w:p w14:paraId="5259F9B3" w14:textId="77777777" w:rsidR="006D5E3C" w:rsidRPr="006D5E3C" w:rsidRDefault="006D5E3C" w:rsidP="006D5E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Cross-chain asset tokenization and compliance automation.</w:t>
      </w:r>
    </w:p>
    <w:p w14:paraId="60CD2CF4" w14:textId="77777777" w:rsidR="006D5E3C" w:rsidRPr="006D5E3C" w:rsidRDefault="006D5E3C" w:rsidP="006D5E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Decentralized identity and credential systems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verifiable across networks.</w:t>
      </w:r>
    </w:p>
    <w:p w14:paraId="3A42802E" w14:textId="77777777" w:rsidR="006D5E3C" w:rsidRPr="006D5E3C" w:rsidRDefault="006D5E3C" w:rsidP="006D5E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AI-assisted dApps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leveraging on-chain intelligence through deterministic oracles.</w:t>
      </w:r>
    </w:p>
    <w:p w14:paraId="243C4200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For investors, SynQ represents Synergy Network’s </w:t>
      </w: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developer moat</w:t>
      </w:r>
      <w:r w:rsidRPr="006D5E3C">
        <w:rPr>
          <w:rFonts w:ascii="Inter" w:eastAsia="Times New Roman" w:hAnsi="Inter" w:cs="Times New Roman"/>
          <w:kern w:val="0"/>
          <w14:ligatures w14:val="none"/>
        </w:rPr>
        <w:t>—a framework that makes the platform indispensable to builders and institutions seeking longevity beyond the quantum transition.</w:t>
      </w:r>
    </w:p>
    <w:p w14:paraId="36BCB2F2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As the global blockchain landscape converges around interoperability and quantum safety, SynQ positions Synergy as a </w:t>
      </w: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Category-Defining Layer-1 Platform</w:t>
      </w:r>
      <w:r w:rsidRPr="006D5E3C">
        <w:rPr>
          <w:rFonts w:ascii="Inter" w:eastAsia="Times New Roman" w:hAnsi="Inter" w:cs="Times New Roman"/>
          <w:kern w:val="0"/>
          <w14:ligatures w14:val="none"/>
        </w:rPr>
        <w:t>—secure, scalable, and developer-centric.</w:t>
      </w:r>
    </w:p>
    <w:p w14:paraId="0029C98E" w14:textId="77777777" w:rsidR="006D5E3C" w:rsidRPr="006D5E3C" w:rsidRDefault="00E44920" w:rsidP="006D5E3C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E44920">
        <w:rPr>
          <w:rFonts w:ascii="Inter" w:eastAsia="Times New Roman" w:hAnsi="Inter" w:cs="Times New Roman"/>
          <w:noProof/>
          <w:kern w:val="0"/>
        </w:rPr>
        <w:pict w14:anchorId="02CF780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2605AE" w14:textId="77777777" w:rsidR="006D5E3C" w:rsidRPr="006D5E3C" w:rsidRDefault="006D5E3C" w:rsidP="006D5E3C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6. Patent-Protected Innovations (General Statement)</w:t>
      </w:r>
    </w:p>
    <w:p w14:paraId="73B4CDC9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The underlying compiler architecture, bytecode specification, and quantum-safe contract verification framework of SynQ are covered under </w:t>
      </w: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pending provisional patent protection</w:t>
      </w:r>
      <w:r w:rsidRPr="006D5E3C">
        <w:rPr>
          <w:rFonts w:ascii="Inter" w:eastAsia="Times New Roman" w:hAnsi="Inter" w:cs="Times New Roman"/>
          <w:kern w:val="0"/>
          <w14:ligatures w14:val="none"/>
        </w:rPr>
        <w:t>.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These patents ensure exclusivity for Synergy’s approach to post-quantum smart-contract design, deterministic interoperability, and language-level cryptographic integration.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All technical specifications—such as opcode tables, compiler pipelines, and execution model internals—remain confidential until patent filings are complete.</w:t>
      </w:r>
    </w:p>
    <w:p w14:paraId="7A477D9E" w14:textId="77777777" w:rsidR="006D5E3C" w:rsidRPr="006D5E3C" w:rsidRDefault="00E44920" w:rsidP="006D5E3C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E44920">
        <w:rPr>
          <w:rFonts w:ascii="Inter" w:eastAsia="Times New Roman" w:hAnsi="Inter" w:cs="Times New Roman"/>
          <w:noProof/>
          <w:kern w:val="0"/>
        </w:rPr>
        <w:pict w14:anchorId="03E1A54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AB224B" w14:textId="77777777" w:rsidR="006D5E3C" w:rsidRPr="006D5E3C" w:rsidRDefault="006D5E3C" w:rsidP="006D5E3C">
      <w:pPr>
        <w:spacing w:before="100" w:beforeAutospacing="1" w:after="100" w:afterAutospacing="1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7. Forward Outlook and Development Roadmap</w:t>
      </w:r>
    </w:p>
    <w:p w14:paraId="774F4F84" w14:textId="77777777" w:rsidR="006D5E3C" w:rsidRPr="006D5E3C" w:rsidRDefault="006D5E3C" w:rsidP="006D5E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Phase 0 (2025):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Finalization of SynQ language syntax, runtime specification, and developer SDK prototypes.</w:t>
      </w:r>
    </w:p>
    <w:p w14:paraId="38AA649A" w14:textId="6E44DBAC" w:rsidR="006D5E3C" w:rsidRPr="006D5E3C" w:rsidRDefault="006D5E3C" w:rsidP="006D5E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Phase 1 (Late 2025):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Integration with Synergy </w:t>
      </w:r>
      <w:r>
        <w:rPr>
          <w:rFonts w:ascii="Inter" w:eastAsia="Times New Roman" w:hAnsi="Inter" w:cs="Times New Roman"/>
          <w:kern w:val="0"/>
          <w14:ligatures w14:val="none"/>
        </w:rPr>
        <w:t>Dev</w:t>
      </w:r>
      <w:r w:rsidRPr="006D5E3C">
        <w:rPr>
          <w:rFonts w:ascii="Inter" w:eastAsia="Times New Roman" w:hAnsi="Inter" w:cs="Times New Roman"/>
          <w:kern w:val="0"/>
          <w14:ligatures w14:val="none"/>
        </w:rPr>
        <w:t>net; deployment of basic SynQ smart-contracts under simulated PQC conditions.</w:t>
      </w:r>
    </w:p>
    <w:p w14:paraId="7BE24620" w14:textId="5F47A38C" w:rsidR="006D5E3C" w:rsidRPr="006D5E3C" w:rsidRDefault="006D5E3C" w:rsidP="006D5E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Phase 2 (Early</w:t>
      </w:r>
      <w:r>
        <w:rPr>
          <w:rFonts w:ascii="Inter" w:eastAsia="Times New Roman" w:hAnsi="Inter" w:cs="Times New Roman"/>
          <w:b/>
          <w:bCs/>
          <w:kern w:val="0"/>
          <w14:ligatures w14:val="none"/>
        </w:rPr>
        <w:t>-Mid</w:t>
      </w: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 2026):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</w:t>
      </w:r>
      <w:r>
        <w:rPr>
          <w:rFonts w:ascii="Inter" w:eastAsia="Times New Roman" w:hAnsi="Inter" w:cs="Times New Roman"/>
          <w:kern w:val="0"/>
          <w14:ligatures w14:val="none"/>
        </w:rPr>
        <w:t xml:space="preserve">Testnet deployment; </w:t>
      </w:r>
      <w:r w:rsidRPr="006D5E3C">
        <w:rPr>
          <w:rFonts w:ascii="Inter" w:eastAsia="Times New Roman" w:hAnsi="Inter" w:cs="Times New Roman"/>
          <w:kern w:val="0"/>
          <w14:ligatures w14:val="none"/>
        </w:rPr>
        <w:t>Advanced contract features, formal verification tooling, and developer environment rollout.</w:t>
      </w:r>
    </w:p>
    <w:p w14:paraId="32A94631" w14:textId="64896F78" w:rsidR="006D5E3C" w:rsidRPr="006D5E3C" w:rsidRDefault="006D5E3C" w:rsidP="006D5E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Phase 3 (Mid</w:t>
      </w:r>
      <w:r>
        <w:rPr>
          <w:rFonts w:ascii="Inter" w:eastAsia="Times New Roman" w:hAnsi="Inter" w:cs="Times New Roman"/>
          <w:b/>
          <w:bCs/>
          <w:kern w:val="0"/>
          <w14:ligatures w14:val="none"/>
        </w:rPr>
        <w:t>-Late</w:t>
      </w: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 2026):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Mainnet Beta release with SynQ Virtual Machine integrated into AIVM execution layer.</w:t>
      </w:r>
    </w:p>
    <w:p w14:paraId="22F6965A" w14:textId="77777777" w:rsidR="006D5E3C" w:rsidRPr="006D5E3C" w:rsidRDefault="006D5E3C" w:rsidP="006D5E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Phase 4 (2027):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Full mainnet deployment supporting enterprise-grade dApps and multi-chain smart-contract execution.</w:t>
      </w:r>
    </w:p>
    <w:p w14:paraId="68F2B849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lastRenderedPageBreak/>
        <w:t>Each phase includes rigorous security audits, developer onboarding programs, and ecosystem grant initiatives to drive adoption.</w:t>
      </w:r>
    </w:p>
    <w:p w14:paraId="4294AE33" w14:textId="77777777" w:rsidR="006D5E3C" w:rsidRPr="006D5E3C" w:rsidRDefault="00E44920" w:rsidP="006D5E3C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E44920">
        <w:rPr>
          <w:rFonts w:ascii="Inter" w:eastAsia="Times New Roman" w:hAnsi="Inter" w:cs="Times New Roman"/>
          <w:noProof/>
          <w:kern w:val="0"/>
        </w:rPr>
        <w:pict w14:anchorId="2625AE6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EBA0A9" w14:textId="77777777" w:rsidR="006D5E3C" w:rsidRPr="006D5E3C" w:rsidRDefault="006D5E3C" w:rsidP="006D5E3C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D5E3C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8. Conclusion</w:t>
      </w:r>
    </w:p>
    <w:p w14:paraId="567F4DD5" w14:textId="7777777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SynQ</w:t>
      </w:r>
      <w:r w:rsidRPr="006D5E3C">
        <w:rPr>
          <w:rFonts w:ascii="Inter" w:eastAsia="Times New Roman" w:hAnsi="Inter" w:cs="Times New Roman"/>
          <w:kern w:val="0"/>
          <w14:ligatures w14:val="none"/>
        </w:rPr>
        <w:t xml:space="preserve"> reimagines the smart-contract paradigm for a quantum-secure, interoperable future.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It provides developers, enterprises, and users with a unified environment where security, scalability, and interoperability are not competing priorities—they are core design principles.</w:t>
      </w:r>
    </w:p>
    <w:p w14:paraId="6CD9C76F" w14:textId="0E14CD47" w:rsidR="006D5E3C" w:rsidRPr="006D5E3C" w:rsidRDefault="006D5E3C" w:rsidP="006D5E3C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D5E3C">
        <w:rPr>
          <w:rFonts w:ascii="Inter" w:eastAsia="Times New Roman" w:hAnsi="Inter" w:cs="Times New Roman"/>
          <w:kern w:val="0"/>
          <w14:ligatures w14:val="none"/>
        </w:rPr>
        <w:t>In the blockchain era to come, applications will not just run on a single chain—they will exist across many.</w:t>
      </w:r>
      <w:r w:rsidRPr="006D5E3C">
        <w:rPr>
          <w:rFonts w:ascii="Inter" w:eastAsia="Times New Roman" w:hAnsi="Inter" w:cs="Times New Roman"/>
          <w:kern w:val="0"/>
          <w14:ligatures w14:val="none"/>
        </w:rPr>
        <w:br/>
        <w:t>SynQ is the engine that will make that future possible—</w:t>
      </w:r>
      <w:r w:rsidRPr="006D5E3C">
        <w:rPr>
          <w:rFonts w:ascii="Inter" w:eastAsia="Times New Roman" w:hAnsi="Inter" w:cs="Times New Roman"/>
          <w:b/>
          <w:bCs/>
          <w:kern w:val="0"/>
          <w14:ligatures w14:val="none"/>
        </w:rPr>
        <w:t>the quantum-secure brain of the Synergy Network.</w:t>
      </w:r>
    </w:p>
    <w:p w14:paraId="155D30D0" w14:textId="77777777" w:rsidR="006D5E3C" w:rsidRPr="006D5E3C" w:rsidRDefault="006D5E3C">
      <w:pPr>
        <w:rPr>
          <w:rFonts w:ascii="Inter" w:hAnsi="Inter"/>
        </w:rPr>
      </w:pPr>
    </w:p>
    <w:sectPr w:rsidR="006D5E3C" w:rsidRPr="006D5E3C" w:rsidSect="006D5E3C">
      <w:pgSz w:w="12240" w:h="15840"/>
      <w:pgMar w:top="657" w:right="1440" w:bottom="58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antico">
    <w:panose1 w:val="02000000000000000000"/>
    <w:charset w:val="4D"/>
    <w:family w:val="auto"/>
    <w:pitch w:val="variable"/>
    <w:sig w:usb0="8000002F" w:usb1="5000004A" w:usb2="00000000" w:usb3="00000000" w:csb0="0000011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E7"/>
    <w:multiLevelType w:val="multilevel"/>
    <w:tmpl w:val="A7D0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54632"/>
    <w:multiLevelType w:val="multilevel"/>
    <w:tmpl w:val="717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2479F"/>
    <w:multiLevelType w:val="multilevel"/>
    <w:tmpl w:val="A4E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F7B5D"/>
    <w:multiLevelType w:val="multilevel"/>
    <w:tmpl w:val="F824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054251">
    <w:abstractNumId w:val="1"/>
  </w:num>
  <w:num w:numId="2" w16cid:durableId="1545484201">
    <w:abstractNumId w:val="3"/>
  </w:num>
  <w:num w:numId="3" w16cid:durableId="2019305192">
    <w:abstractNumId w:val="0"/>
  </w:num>
  <w:num w:numId="4" w16cid:durableId="160581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3C"/>
    <w:rsid w:val="005E4AA9"/>
    <w:rsid w:val="006D5E3C"/>
    <w:rsid w:val="00E4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BF8E2"/>
  <w15:chartTrackingRefBased/>
  <w15:docId w15:val="{C50078A5-BEEE-0940-99F4-3765764B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5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E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5E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5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ListTable4">
    <w:name w:val="List Table 4"/>
    <w:basedOn w:val="TableNormal"/>
    <w:uiPriority w:val="49"/>
    <w:rsid w:val="006D5E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pup</dc:creator>
  <cp:keywords/>
  <dc:description/>
  <cp:lastModifiedBy>dev pup</cp:lastModifiedBy>
  <cp:revision>1</cp:revision>
  <dcterms:created xsi:type="dcterms:W3CDTF">2025-11-04T21:56:00Z</dcterms:created>
  <dcterms:modified xsi:type="dcterms:W3CDTF">2025-11-04T22:19:00Z</dcterms:modified>
</cp:coreProperties>
</file>