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749A" w14:textId="77777777" w:rsidR="00746222" w:rsidRPr="00746222" w:rsidRDefault="00746222" w:rsidP="00746222">
      <w:pPr>
        <w:outlineLvl w:val="0"/>
        <w:rPr>
          <w:rFonts w:ascii="Inter" w:eastAsia="Times New Roman" w:hAnsi="Inter" w:cs="Times New Roman"/>
          <w:b/>
          <w:bCs/>
          <w:kern w:val="36"/>
          <w:sz w:val="36"/>
          <w:szCs w:val="36"/>
          <w14:ligatures w14:val="none"/>
        </w:rPr>
        <w:spacing w:before="480" w:after="160"/>
        <w:pBdr>
          <w:left w:val="single" w:sz="24" w:space="8" w:color="1A6FD4"/>
        </w:pBdr>
      </w:pPr>
      <w:r w:rsidRPr="00746222">
        <w:rPr>
          <w:rFonts w:ascii="Arial" w:eastAsia="Times New Roman" w:hAnsi="Arial" w:cs="Arial"/>
          <w:b/>
          <w:bCs/>
          <w:kern w:val="36"/>
          <w:sz w:val="32"/>
          <w:szCs w:val="36"/>
          <w14:ligatures w14:val="none"/>
          <w:color w:val="1A6FD4"/>
        </w:rPr>
        <w:t>Synergy Network</w:t>
      </w:r>
    </w:p>
    <w:p w14:paraId="2765F329" w14:textId="77777777" w:rsidR="00746222" w:rsidRPr="00746222" w:rsidRDefault="00746222" w:rsidP="00746222">
      <w:pPr>
        <w:outlineLvl w:val="1"/>
        <w:rPr>
          <w:rFonts w:ascii="Inter" w:eastAsia="Times New Roman" w:hAnsi="Inter" w:cs="Times New Roman"/>
          <w:b/>
          <w:bCs/>
          <w:kern w:val="0"/>
          <w14:ligatures w14:val="none"/>
        </w:rPr>
        <w:spacing w:before="360" w:after="120"/>
        <w:pBdr>
          <w:left w:val="single" w:sz="12" w:space="6" w:color="1A6FD4"/>
        </w:pBdr>
      </w:pPr>
      <w:r w:rsidRPr="00746222">
        <w:rPr>
          <w:rFonts w:ascii="Arial" w:eastAsia="Times New Roman" w:hAnsi="Arial" w:cs="Arial"/>
          <w:b/>
          <w:bCs/>
          <w:kern w:val="0"/>
          <w14:ligatures w14:val="none"/>
          <w:color w:val="1A6FD4"/>
          <w:sz w:val="26"/>
        </w:rPr>
        <w:t>A Post-Quantum, Interoperable, Cooperative Blockchain Network</w:t>
      </w:r>
    </w:p>
    <w:p w14:paraId="17D3C9A6" w14:textId="77777777" w:rsidR="00746222" w:rsidRDefault="00746222" w:rsidP="00746222">
      <w:pPr>
        <w:spacing w:after="0" w:line="240" w:lineRule="auto"/>
        <w:rPr>
          <w:rFonts w:ascii="Inter" w:eastAsia="Times New Roman" w:hAnsi="Inter" w:cs="Times New Roman"/>
          <w:kern w:val="0"/>
          <w:sz w:val="20"/>
          <w:szCs w:val="20"/>
          <w14:ligatures w14:val="none"/>
        </w:rPr>
      </w:pPr>
    </w:p>
    <w:p w14:paraId="0D2E3ED8" w14:textId="67B7F8E1" w:rsidR="00746222" w:rsidRPr="00746222" w:rsidRDefault="00030812" w:rsidP="00746222">
      <w:pPr>
        <w:spacing w:after="0" w:line="24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33127523">
          <v:rect id="_x0000_i1032" alt="" style="width:468pt;height:.05pt;mso-width-percent:0;mso-height-percent:0;mso-width-percent:0;mso-height-percent:0" o:hralign="center" o:hrstd="t" o:hr="t" fillcolor="#a0a0a0" stroked="f"/>
        </w:pict>
      </w:r>
    </w:p>
    <w:p w14:paraId="50928EE6" w14:textId="77777777" w:rsidR="00746222" w:rsidRDefault="00746222" w:rsidP="00746222">
      <w:pPr>
        <w:spacing w:after="0" w:line="240" w:lineRule="auto"/>
        <w:outlineLvl w:val="1"/>
        <w:rPr>
          <w:rFonts w:ascii="Inter" w:eastAsia="Times New Roman" w:hAnsi="Inter" w:cs="Times New Roman"/>
          <w:b/>
          <w:bCs/>
          <w:kern w:val="0"/>
          <w:sz w:val="20"/>
          <w:szCs w:val="20"/>
          <w14:ligatures w14:val="none"/>
        </w:rPr>
      </w:pPr>
    </w:p>
    <w:p w14:paraId="422D9ADE" w14:textId="4F7B8462" w:rsidR="00746222" w:rsidRPr="00746222" w:rsidRDefault="00746222" w:rsidP="00746222">
      <w:pPr>
        <w:outlineLvl w:val="1"/>
        <w:rPr>
          <w:rFonts w:ascii="Inter" w:eastAsia="Times New Roman" w:hAnsi="Inter" w:cs="Times New Roman"/>
          <w:b/>
          <w:bCs/>
          <w:kern w:val="0"/>
          <w14:ligatures w14:val="none"/>
        </w:rPr>
        <w:spacing w:before="480" w:after="160"/>
        <w:pBdr>
          <w:left w:val="single" w:sz="24" w:space="8" w:color="1A6FD4"/>
        </w:pBdr>
      </w:pPr>
      <w:r w:rsidRPr="00746222">
        <w:rPr>
          <w:rFonts w:ascii="Arial" w:eastAsia="Times New Roman" w:hAnsi="Arial" w:cs="Arial"/>
          <w:b/>
          <w:bCs/>
          <w:kern w:val="0"/>
          <w14:ligatures w14:val="none"/>
          <w:color w:val="1A6FD4"/>
          <w:sz w:val="32"/>
        </w:rPr>
        <w:t>Abstract</w:t>
      </w:r>
    </w:p>
    <w:p w14:paraId="6A9B0B8A"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p>
    <w:p w14:paraId="5916A59E"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Synergy Network is a next-generation Layer-1 blockchain protocol designed to address three converging systemic challenges in distributed ledger technology: (i) the fragmentation of blockchain ecosystems and the insecurity of existing interoperability mechanisms, (ii) centralization pressures and misaligned incentives in prevailing consensus models, and (iii) the existential cryptographic threat posed by large-scale quantum computing.</w:t>
      </w:r>
    </w:p>
    <w:p w14:paraId="54DC7B3C"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p>
    <w:p w14:paraId="297088A9"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Synergy introduces an integrated architecture built around four foundational components: Proof-of-Synergy (PoSy), a cooperative Byzantine Fault Tolerant consensus mechanism; Aegis, a native post-quantum cryptographic core based on NIST-standardized algorithms; the Synergy Cross-Chain Protocol (SXCP), a bridge-less, deterministic interoperability framework; and SynQ, a post-quantum smart-contract language and virtual machine designed for formal verification and cross-chain execution.</w:t>
      </w:r>
    </w:p>
    <w:p w14:paraId="5D378965"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p>
    <w:p w14:paraId="369EC4E7"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Rather than retrofitting security, scalability, or interoperability as auxiliary layers, Synergy embeds these properties directly into the protocol’s core design. The result is a blockchain network engineered not only for present-day performance, but for long-term correctness, cryptographic resilience, and institutional-grade trust in a multi-chain, post-quantum future.</w:t>
      </w:r>
    </w:p>
    <w:p w14:paraId="01631744" w14:textId="77777777" w:rsidR="00746222" w:rsidRDefault="00746222" w:rsidP="00746222">
      <w:pPr>
        <w:spacing w:after="0" w:line="300" w:lineRule="auto"/>
        <w:rPr>
          <w:rFonts w:ascii="Inter" w:eastAsia="Times New Roman" w:hAnsi="Inter" w:cs="Times New Roman"/>
          <w:kern w:val="0"/>
          <w:sz w:val="20"/>
          <w:szCs w:val="20"/>
          <w14:ligatures w14:val="none"/>
        </w:rPr>
      </w:pPr>
    </w:p>
    <w:p w14:paraId="03F4AA43" w14:textId="64BEA8EA" w:rsidR="00746222" w:rsidRPr="00746222" w:rsidRDefault="00030812" w:rsidP="0074622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03EC6B9">
          <v:rect id="_x0000_i1031" alt="" style="width:468pt;height:.05pt;mso-width-percent:0;mso-height-percent:0;mso-width-percent:0;mso-height-percent:0" o:hralign="center" o:hrstd="t" o:hr="t" fillcolor="#a0a0a0" stroked="f"/>
        </w:pict>
      </w:r>
    </w:p>
    <w:p w14:paraId="69DAD81E" w14:textId="77777777" w:rsidR="00746222" w:rsidRDefault="00746222" w:rsidP="00746222">
      <w:pPr>
        <w:spacing w:after="0" w:line="300" w:lineRule="auto"/>
        <w:outlineLvl w:val="1"/>
        <w:rPr>
          <w:rFonts w:ascii="Inter" w:eastAsia="Times New Roman" w:hAnsi="Inter" w:cs="Times New Roman"/>
          <w:b/>
          <w:bCs/>
          <w:kern w:val="0"/>
          <w:sz w:val="20"/>
          <w:szCs w:val="20"/>
          <w14:ligatures w14:val="none"/>
        </w:rPr>
      </w:pPr>
    </w:p>
    <w:p w14:paraId="5F6933ED" w14:textId="77777777" w:rsidR="00746222" w:rsidRPr="00746222" w:rsidRDefault="00746222" w:rsidP="00746222">
      <w:pPr>
        <w:outlineLvl w:val="1"/>
        <w:rPr>
          <w:rFonts w:ascii="Inter" w:eastAsia="Times New Roman" w:hAnsi="Inter" w:cs="Times New Roman"/>
          <w:b/>
          <w:bCs/>
          <w:kern w:val="0"/>
          <w14:ligatures w14:val="none"/>
        </w:rPr>
        <w:spacing w:before="480" w:after="160"/>
        <w:pBdr>
          <w:left w:val="single" w:sz="24" w:space="8" w:color="1A6FD4"/>
        </w:pBdr>
      </w:pPr>
      <w:r w:rsidRPr="00746222">
        <w:rPr>
          <w:rFonts w:ascii="Arial" w:eastAsia="Times New Roman" w:hAnsi="Arial" w:cs="Arial"/>
          <w:b/>
          <w:bCs/>
          <w:kern w:val="0"/>
          <w14:ligatures w14:val="none"/>
          <w:color w:val="1A6FD4"/>
          <w:sz w:val="32"/>
        </w:rPr>
        <w:t xml:space="preserve">Executive Summary </w:t>
      </w:r>
    </w:p>
    <w:p w14:paraId="5C3485BC" w14:textId="0BA1F60E" w:rsidR="00746222" w:rsidRPr="00746222" w:rsidRDefault="00746222" w:rsidP="00746222">
      <w:pPr>
        <w:outlineLvl w:val="1"/>
        <w:rPr>
          <w:rFonts w:ascii="Inter" w:eastAsia="Times New Roman" w:hAnsi="Inter" w:cs="Times New Roman"/>
          <w:b/>
          <w:bCs/>
          <w:kern w:val="0"/>
          <w:sz w:val="18"/>
          <w:szCs w:val="18"/>
          <w14:ligatures w14:val="none"/>
        </w:rPr>
        <w:spacing w:before="360" w:after="120"/>
        <w:pBdr>
          <w:left w:val="single" w:sz="12" w:space="6" w:color="1A6FD4"/>
        </w:pBdr>
      </w:pPr>
      <w:r w:rsidRPr="00746222">
        <w:rPr>
          <w:rFonts w:ascii="Arial" w:eastAsia="Times New Roman" w:hAnsi="Arial" w:cs="Arial"/>
          <w:b/>
          <w:bCs/>
          <w:kern w:val="0"/>
          <w:sz w:val="26"/>
          <w:szCs w:val="18"/>
          <w14:ligatures w14:val="none"/>
          <w:color w:val="1A6FD4"/>
        </w:rPr>
        <w:t>(Non-Technical)</w:t>
      </w:r>
    </w:p>
    <w:p w14:paraId="4063751E" w14:textId="77777777" w:rsidR="00746222" w:rsidRDefault="00746222" w:rsidP="00746222">
      <w:pPr>
        <w:spacing w:after="0" w:line="300" w:lineRule="auto"/>
        <w:rPr>
          <w:rFonts w:ascii="Inter" w:eastAsia="Times New Roman" w:hAnsi="Inter" w:cs="Times New Roman"/>
          <w:kern w:val="0"/>
          <w:sz w:val="20"/>
          <w:szCs w:val="20"/>
          <w14:ligatures w14:val="none"/>
        </w:rPr>
      </w:pPr>
    </w:p>
    <w:p w14:paraId="51B974C4"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Blockchain technology has advanced rapidly, yet its most fundamental problems remain unresolved. Assets and applications are fragmented across thousands of incompatible networks. Moving value between blockchains depends on fragile bridge mechanisms that routinely fail, resulting in billions of dollars in losses. Many consensus systems increasingly concentrate power in the hands of a small number of validators or staking intermediaries. At the same time, accelerating advances in quantum computing threaten to undermine the cryptographic foundations upon which existing blockchains rely.</w:t>
      </w:r>
    </w:p>
    <w:p w14:paraId="52C1771E"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630393A9"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Synergy Network was designed to confront these challenges directly.</w:t>
      </w:r>
    </w:p>
    <w:p w14:paraId="1B44AB77"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3472AB61"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At its foundation, Synergy replaces competitive validation models with Proof-of-Synergy, a cooperative consensus mechanism in which validators are incentivized to collaborate rather than compete. Validators secure the network by collectively proposing, verifying, and finalizing blocks under rules defined by community governance. Their influence in consensus is determined not solely by financial stake, but by a composite measure of reliability, contribution, and long-term participation known as the Synergy Score. This score affects how validators execute consensus, </w:t>
      </w:r>
      <w:r w:rsidRPr="00BF1B79">
        <w:rPr>
          <w:rFonts w:ascii="Inter" w:eastAsia="Times New Roman" w:hAnsi="Inter" w:cs="Inter"/>
          <w:kern w:val="0"/>
          <w:sz w:val="20"/>
          <w:szCs w:val="20"/>
          <w14:ligatures w14:val="none"/>
        </w:rPr>
        <w:lastRenderedPageBreak/>
        <w:t>not what the network decides. Governance authority itself resides above consensus and is exercised through the Synergy DAO.</w:t>
      </w:r>
    </w:p>
    <w:p w14:paraId="2E257617"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6E301FA1"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Security is provided by Aegis, a post-quantum cryptographic framework embedded natively into the protocol. Synergy uses quantum-resistant digital signatures and key-exchange mechanisms standardized by the U.S. National Institute of Standards and Technology (NIST), ensuring that transactions, validator identities, and cross-chain operations remain secure even in the presence of future quantum adversaries.</w:t>
      </w:r>
    </w:p>
    <w:p w14:paraId="473A4412"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215245A0"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To address blockchain fragmentation, Synergy introduces the Synergy Cross-Chain Protocol (SXCP). SXCP eliminates custodial bridges entirely, replacing them with deterministic cryptographic attestations produced by distributed relayer networks using threshold post-quantum signatures. Assets move between blockchains without wrapped tokens, centralized custody, or opaque trust assumptions.</w:t>
      </w:r>
    </w:p>
    <w:p w14:paraId="6C45D1DB"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4D90AA61"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Synergy also introduces SynQ, a purpose-built smart-contract language and virtual machine. SynQ integrates quantum-safe cryptography by default, supports deterministic cross-chain execution, and is designed for formal verification—substantially reducing the risk of catastrophic software failures.</w:t>
      </w:r>
    </w:p>
    <w:p w14:paraId="41E533C3"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10FFA898"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Governance of the protocol is administered by the Synergy DAO, a multi-constituency governance system that represents economic stakeholders, contributors, and infrastructure operators without granting unilateral control to any single group. Validators enforce governance outcomes but do not define them. This separation of authority preserves decentralization, prevents capture, and ensures that protocol evolution remains accountable to the broader community.</w:t>
      </w:r>
    </w:p>
    <w:p w14:paraId="3AF38026"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2DCC95A5" w14:textId="2A87FCBC" w:rsid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Together, these components form a unified system intended to serve as long-term infrastructure for decentralized finance, digital identity, cross-chain applications, and institutional blockchain adoption. Synergy Network is not an incremental optimization of existing models; it is a foundational redesign engineered for resilience, legitimacy, and the coming post-quantum era.</w:t>
      </w:r>
    </w:p>
    <w:p w14:paraId="5B9D322E" w14:textId="77777777" w:rsidR="00BF1B79" w:rsidRDefault="00BF1B79" w:rsidP="00BF1B79">
      <w:pPr>
        <w:spacing w:after="0" w:line="300" w:lineRule="auto"/>
        <w:rPr>
          <w:rFonts w:ascii="Inter" w:eastAsia="Times New Roman" w:hAnsi="Inter" w:cs="Times New Roman"/>
          <w:kern w:val="0"/>
          <w:sz w:val="20"/>
          <w:szCs w:val="20"/>
          <w14:ligatures w14:val="none"/>
        </w:rPr>
      </w:pPr>
    </w:p>
    <w:p w14:paraId="4B6B98DD" w14:textId="518041A7" w:rsidR="00746222" w:rsidRPr="00746222" w:rsidRDefault="00030812" w:rsidP="0074622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710F47FF">
          <v:rect id="_x0000_i1030" alt="" style="width:468pt;height:.05pt;mso-width-percent:0;mso-height-percent:0;mso-width-percent:0;mso-height-percent:0" o:hralign="center" o:hrstd="t" o:hr="t" fillcolor="#a0a0a0" stroked="f"/>
        </w:pict>
      </w:r>
    </w:p>
    <w:p w14:paraId="2BBEE5AB" w14:textId="77777777" w:rsidR="00746222" w:rsidRDefault="00746222" w:rsidP="00746222">
      <w:pPr>
        <w:spacing w:after="0" w:line="300" w:lineRule="auto"/>
        <w:outlineLvl w:val="1"/>
        <w:rPr>
          <w:rFonts w:ascii="Inter" w:eastAsia="Times New Roman" w:hAnsi="Inter" w:cs="Times New Roman"/>
          <w:b/>
          <w:bCs/>
          <w:kern w:val="0"/>
          <w:sz w:val="20"/>
          <w:szCs w:val="20"/>
          <w14:ligatures w14:val="none"/>
        </w:rPr>
      </w:pPr>
    </w:p>
    <w:p w14:paraId="4F42C5FD" w14:textId="77777777" w:rsidR="00746222" w:rsidRPr="00746222" w:rsidRDefault="00746222" w:rsidP="00746222">
      <w:pPr>
        <w:outlineLvl w:val="1"/>
        <w:rPr>
          <w:rFonts w:ascii="Inter" w:eastAsia="Times New Roman" w:hAnsi="Inter" w:cs="Times New Roman"/>
          <w:b/>
          <w:bCs/>
          <w:kern w:val="0"/>
          <w14:ligatures w14:val="none"/>
        </w:rPr>
        <w:spacing w:before="480" w:after="160"/>
        <w:pBdr>
          <w:left w:val="single" w:sz="24" w:space="8" w:color="1A6FD4"/>
        </w:pBdr>
      </w:pPr>
      <w:r w:rsidRPr="00746222">
        <w:rPr>
          <w:rFonts w:ascii="Arial" w:eastAsia="Times New Roman" w:hAnsi="Arial" w:cs="Arial"/>
          <w:b/>
          <w:bCs/>
          <w:kern w:val="0"/>
          <w14:ligatures w14:val="none"/>
          <w:color w:val="1A6FD4"/>
          <w:sz w:val="32"/>
        </w:rPr>
        <w:t xml:space="preserve">Executive Summary </w:t>
      </w:r>
    </w:p>
    <w:p w14:paraId="79D4319F" w14:textId="557D9ED2" w:rsidR="00746222" w:rsidRPr="00746222" w:rsidRDefault="00746222" w:rsidP="00746222">
      <w:pPr>
        <w:outlineLvl w:val="1"/>
        <w:rPr>
          <w:rFonts w:ascii="Inter" w:eastAsia="Times New Roman" w:hAnsi="Inter" w:cs="Times New Roman"/>
          <w:b/>
          <w:bCs/>
          <w:kern w:val="0"/>
          <w:sz w:val="18"/>
          <w:szCs w:val="18"/>
          <w14:ligatures w14:val="none"/>
        </w:rPr>
        <w:spacing w:before="360" w:after="120"/>
        <w:pBdr>
          <w:left w:val="single" w:sz="12" w:space="6" w:color="1A6FD4"/>
        </w:pBdr>
      </w:pPr>
      <w:r w:rsidRPr="00746222">
        <w:rPr>
          <w:rFonts w:ascii="Arial" w:eastAsia="Times New Roman" w:hAnsi="Arial" w:cs="Arial"/>
          <w:b/>
          <w:bCs/>
          <w:kern w:val="0"/>
          <w:sz w:val="26"/>
          <w:szCs w:val="18"/>
          <w14:ligatures w14:val="none"/>
          <w:color w:val="1A6FD4"/>
        </w:rPr>
        <w:t>(Technical)</w:t>
      </w:r>
    </w:p>
    <w:p w14:paraId="5C808AB5"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p>
    <w:p w14:paraId="1FDCAF58"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Synergy Network is a Layer-1 blockchain protocol constructed as an integrated composition of four core layers: cooperative consensus (Proof-of-Synergy), post-quantum cryptography (Aegis), deterministic interoperability (SXCP), and formally verifiable smart-contract execution (SynQ).</w:t>
      </w:r>
    </w:p>
    <w:p w14:paraId="703F8A99"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50B5024C"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The network operates under a partially synchronous Byzantine fault model and achieves deterministic finality through Proof-of-Synergy (PoSy), a committee-based BFT consensus mechanism. PoSy replaces pure stake weighting with a multidimensional validator influence metric used exclusively for consensus execution. Validator influence is derived from a dynamically computed Synergy Score, incorporating stake commitment, historical performance, uptime, and verified protocol participation. The Synergy Score affects consensus weighting only and does not confer governance authority or protocol-level decision rights.</w:t>
      </w:r>
    </w:p>
    <w:p w14:paraId="4B25FB0B"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0B1CC23F"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All cryptographic operations are mediated through the Aegis Post-Quantum Cryptographic Core. Aegis implements NIST-standardized module-lattice algorithms (ML-DSA and ML-KEM) for digital signatures, key encapsulation, threshold signing, distributed key generation, and randomness beacons. Cryptographic agility, key rotation, and lifecycle enforcement are implemented at the protocol level, providing forward security and resistance to harvest-now-decrypt-later attacks.</w:t>
      </w:r>
    </w:p>
    <w:p w14:paraId="695497EB"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6D54F294"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Interoperability is provided by the Synergy Cross-Chain Protocol (SXCP), which replaces bridge-based custody models with cryptographically verifiable state proofs and threshold post-quantum attestations. SXCP supports both atomic swap and high-throughput MPC custody modes, operates asynchronously relative to base-chain consensus, and enforces chain-specific finality constraints to prevent replay and reorganization attacks. Cross-chain operations are explicitly decoupled from consensus liveness.</w:t>
      </w:r>
    </w:p>
    <w:p w14:paraId="6EEAFA4B"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47910A0E"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Smart-contract execution is enabled by SynQ, a purpose-built language and virtual machine optimized for post-quantum cryptographic workloads and deterministic execution. SynQ contracts natively verify cross-chain proofs, integrate directly with Aegis primitives, and are designed for compatibility with formal verification frameworks to reduce systemic smart-contract risk.</w:t>
      </w:r>
    </w:p>
    <w:p w14:paraId="223B89D6"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6123ACE8"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Protocol governance is administered by the Synergy DAO, a sovereign governance layer distinct from consensus execution. Governance authority is exercised through a multi-constituency voting framework representing token holders, contributors, and validators as separate classes. Governance outcomes are binding protocol law once ratified and are enforced by validators as part of consensus operation. Emergency safeguards, parameterized upgrades, and rollback mechanisms are constrained by supermajority thresholds, cryptographic auditability, and explicit separation of powers.</w:t>
      </w:r>
    </w:p>
    <w:p w14:paraId="30AD3C24"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1C2863D0" w14:textId="00E8EE39" w:rsidR="00746222" w:rsidRDefault="00BF1B79" w:rsidP="00BF1B79">
      <w:pPr>
        <w:spacing w:after="0" w:line="300"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Synergy Network is engineered as long-term, adversarially robust infrastructure—prioritizing security, legitimacy, and future cryptographic resilience over short-horizon performance optimization.</w:t>
      </w:r>
    </w:p>
    <w:p w14:paraId="6F3BD101" w14:textId="735843A7" w:rsidR="00746222" w:rsidRPr="00746222" w:rsidRDefault="00030812" w:rsidP="0074622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04D36887">
          <v:rect id="_x0000_i1029" alt="" style="width:468pt;height:.05pt;mso-width-percent:0;mso-height-percent:0;mso-width-percent:0;mso-height-percent:0" o:hralign="center" o:hrstd="t" o:hr="t" fillcolor="#a0a0a0" stroked="f"/>
        </w:pict>
      </w:r>
    </w:p>
    <w:p w14:paraId="079B7EB3" w14:textId="77777777" w:rsidR="00746222" w:rsidRDefault="00746222" w:rsidP="00746222">
      <w:pPr>
        <w:spacing w:after="0" w:line="240" w:lineRule="auto"/>
        <w:outlineLvl w:val="1"/>
        <w:rPr>
          <w:rFonts w:ascii="Inter" w:eastAsia="Times New Roman" w:hAnsi="Inter" w:cs="Times New Roman"/>
          <w:b/>
          <w:bCs/>
          <w:kern w:val="0"/>
          <w14:ligatures w14:val="none"/>
        </w:rPr>
      </w:pPr>
    </w:p>
    <w:p w14:paraId="64CE1609" w14:textId="068A6D9B" w:rsidR="00746222" w:rsidRPr="00746222" w:rsidRDefault="00746222" w:rsidP="00746222">
      <w:pPr>
        <w:outlineLvl w:val="1"/>
        <w:rPr>
          <w:rFonts w:ascii="Inter" w:eastAsia="Times New Roman" w:hAnsi="Inter" w:cs="Times New Roman"/>
          <w:b/>
          <w:bCs/>
          <w:kern w:val="0"/>
          <w14:ligatures w14:val="none"/>
        </w:rPr>
        <w:spacing w:before="360" w:after="120"/>
        <w:pBdr>
          <w:left w:val="single" w:sz="12" w:space="6" w:color="1A6FD4"/>
        </w:pBdr>
      </w:pPr>
      <w:r w:rsidRPr="00746222">
        <w:rPr>
          <w:rFonts w:ascii="Arial" w:eastAsia="Times New Roman" w:hAnsi="Arial" w:cs="Arial"/>
          <w:b/>
          <w:bCs/>
          <w:kern w:val="0"/>
          <w14:ligatures w14:val="none"/>
          <w:color w:val="1A6FD4"/>
          <w:sz w:val="26"/>
        </w:rPr>
        <w:t>Reading Guide</w:t>
      </w:r>
    </w:p>
    <w:p w14:paraId="51304F14"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p>
    <w:p w14:paraId="45569D1D" w14:textId="77777777" w:rsidR="00746222" w:rsidRDefault="00746222" w:rsidP="00746222">
      <w:pPr>
        <w:spacing w:after="80" w:line="300" w:lineRule="auto"/>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This document is intended for multiple audiences with varying technical backgrounds. Readers may wish to focus on different sections depending on their objectives:</w:t>
      </w:r>
    </w:p>
    <w:p w14:paraId="19FE42F3" w14:textId="77777777" w:rsidR="00746222" w:rsidRPr="00746222" w:rsidRDefault="00746222" w:rsidP="00746222">
      <w:pPr>
        <w:spacing w:after="80" w:line="300" w:lineRule="auto"/>
        <w:rPr>
          <w:rFonts w:ascii="Inter" w:eastAsia="Times New Roman" w:hAnsi="Inter" w:cs="Times New Roman"/>
          <w:kern w:val="0"/>
          <w:sz w:val="20"/>
          <w:szCs w:val="20"/>
          <w14:ligatures w14:val="none"/>
        </w:rPr>
      </w:pPr>
    </w:p>
    <w:p w14:paraId="26D63C20" w14:textId="77777777" w:rsidR="00746222" w:rsidRPr="00746222" w:rsidRDefault="00746222" w:rsidP="00746222">
      <w:pPr>
        <w:numPr>
          <w:ilvl w:val="0"/>
          <w:numId w:val="1"/>
        </w:numPr>
        <w:rPr>
          <w:rFonts w:ascii="Inter" w:eastAsia="Times New Roman" w:hAnsi="Inter" w:cs="Times New Roman"/>
          <w:kern w:val="0"/>
          <w:sz w:val="20"/>
          <w:szCs w:val="20"/>
          <w14:ligatures w14:val="none"/>
        </w:rPr>
        <w:spacing w:before="360" w:after="120"/>
        <w:pBdr>
          <w:left w:val="single" w:sz="12" w:space="6" w:color="1A6FD4"/>
        </w:pBdr>
      </w:pPr>
      <w:r w:rsidRPr="00746222">
        <w:rPr>
          <w:rFonts w:ascii="Arial" w:eastAsia="Times New Roman" w:hAnsi="Arial" w:cs="Arial"/>
          <w:b/>
          <w:bCs/>
          <w:kern w:val="0"/>
          <w:sz w:val="26"/>
          <w:szCs w:val="20"/>
          <w14:ligatures w14:val="none"/>
          <w:color w:val="1A6FD4"/>
        </w:rPr>
        <w:t>General Readers and Stakeholders</w:t>
      </w:r>
    </w:p>
    <w:p w14:paraId="03CD6242" w14:textId="77777777" w:rsidR="00746222" w:rsidRPr="00746222" w:rsidRDefault="00746222" w:rsidP="00746222">
      <w:pPr>
        <w:spacing w:after="80" w:line="300" w:lineRule="auto"/>
        <w:ind w:left="720"/>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Read the Executive Summaries, Part I (Context and Design Philosophy), and Part IX (Roadmap and Strategic Outlook).</w:t>
      </w:r>
    </w:p>
    <w:p w14:paraId="793F2E27" w14:textId="77777777" w:rsidR="00746222" w:rsidRPr="00746222" w:rsidRDefault="00746222" w:rsidP="00746222">
      <w:pPr>
        <w:numPr>
          <w:ilvl w:val="0"/>
          <w:numId w:val="1"/>
        </w:numPr>
        <w:rPr>
          <w:rFonts w:ascii="Inter" w:eastAsia="Times New Roman" w:hAnsi="Inter" w:cs="Times New Roman"/>
          <w:kern w:val="0"/>
          <w:sz w:val="20"/>
          <w:szCs w:val="20"/>
          <w14:ligatures w14:val="none"/>
        </w:rPr>
        <w:spacing w:before="360" w:after="120"/>
        <w:pBdr>
          <w:left w:val="single" w:sz="12" w:space="6" w:color="1A6FD4"/>
        </w:pBdr>
      </w:pPr>
      <w:r w:rsidRPr="00746222">
        <w:rPr>
          <w:rFonts w:ascii="Arial" w:eastAsia="Times New Roman" w:hAnsi="Arial" w:cs="Arial"/>
          <w:b/>
          <w:bCs/>
          <w:kern w:val="0"/>
          <w:sz w:val="26"/>
          <w:szCs w:val="20"/>
          <w14:ligatures w14:val="none"/>
          <w:color w:val="1A6FD4"/>
        </w:rPr>
        <w:t>Protocol Engineers and Cryptographers</w:t>
      </w:r>
    </w:p>
    <w:p w14:paraId="07DA8682" w14:textId="77777777" w:rsidR="00746222" w:rsidRPr="00746222" w:rsidRDefault="00746222" w:rsidP="00746222">
      <w:pPr>
        <w:spacing w:after="80" w:line="300" w:lineRule="auto"/>
        <w:ind w:left="720"/>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Focus on Parts III (Proof-of-Synergy), IV (Aegis PQC Core), and V (SXCP), with particular attention to security models and appendices.</w:t>
      </w:r>
    </w:p>
    <w:p w14:paraId="6566D1C3" w14:textId="77777777" w:rsidR="00746222" w:rsidRPr="00746222" w:rsidRDefault="00746222" w:rsidP="00746222">
      <w:pPr>
        <w:numPr>
          <w:ilvl w:val="0"/>
          <w:numId w:val="1"/>
        </w:numPr>
        <w:rPr>
          <w:rFonts w:ascii="Inter" w:eastAsia="Times New Roman" w:hAnsi="Inter" w:cs="Times New Roman"/>
          <w:kern w:val="0"/>
          <w:sz w:val="20"/>
          <w:szCs w:val="20"/>
          <w14:ligatures w14:val="none"/>
        </w:rPr>
        <w:spacing w:before="360" w:after="120"/>
        <w:pBdr>
          <w:left w:val="single" w:sz="12" w:space="6" w:color="1A6FD4"/>
        </w:pBdr>
      </w:pPr>
      <w:r w:rsidRPr="00746222">
        <w:rPr>
          <w:rFonts w:ascii="Arial" w:eastAsia="Times New Roman" w:hAnsi="Arial" w:cs="Arial"/>
          <w:b/>
          <w:bCs/>
          <w:kern w:val="0"/>
          <w:sz w:val="26"/>
          <w:szCs w:val="20"/>
          <w14:ligatures w14:val="none"/>
          <w:color w:val="1A6FD4"/>
        </w:rPr>
        <w:t>Smart-Contract Developers</w:t>
      </w:r>
    </w:p>
    <w:p w14:paraId="348A09F2" w14:textId="77777777" w:rsidR="00746222" w:rsidRPr="00746222" w:rsidRDefault="00746222" w:rsidP="00746222">
      <w:pPr>
        <w:spacing w:after="80" w:line="300" w:lineRule="auto"/>
        <w:ind w:left="720"/>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Review Part VI (SynQ Language and Virtual Machine) and related appendices.</w:t>
      </w:r>
    </w:p>
    <w:p w14:paraId="2EAC562B" w14:textId="77777777" w:rsidR="00746222" w:rsidRPr="00746222" w:rsidRDefault="00746222" w:rsidP="00746222">
      <w:pPr>
        <w:numPr>
          <w:ilvl w:val="0"/>
          <w:numId w:val="1"/>
        </w:numPr>
        <w:rPr>
          <w:rFonts w:ascii="Inter" w:eastAsia="Times New Roman" w:hAnsi="Inter" w:cs="Times New Roman"/>
          <w:kern w:val="0"/>
          <w:sz w:val="20"/>
          <w:szCs w:val="20"/>
          <w14:ligatures w14:val="none"/>
        </w:rPr>
        <w:spacing w:before="360" w:after="120"/>
        <w:pBdr>
          <w:left w:val="single" w:sz="12" w:space="6" w:color="1A6FD4"/>
        </w:pBdr>
      </w:pPr>
      <w:r w:rsidRPr="00746222">
        <w:rPr>
          <w:rFonts w:ascii="Arial" w:eastAsia="Times New Roman" w:hAnsi="Arial" w:cs="Arial"/>
          <w:b/>
          <w:bCs/>
          <w:kern w:val="0"/>
          <w:sz w:val="26"/>
          <w:szCs w:val="20"/>
          <w14:ligatures w14:val="none"/>
          <w:color w:val="1A6FD4"/>
        </w:rPr>
        <w:lastRenderedPageBreak/>
        <w:t>Investors and Institutional Evaluators</w:t>
      </w:r>
    </w:p>
    <w:p w14:paraId="24726D84" w14:textId="77777777" w:rsidR="00746222" w:rsidRPr="00746222" w:rsidRDefault="00746222" w:rsidP="00746222">
      <w:pPr>
        <w:spacing w:after="80" w:line="300" w:lineRule="auto"/>
        <w:ind w:left="720"/>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Review Parts I, VII (Governance and Economics), VIII (Performance and Operations), and IX.</w:t>
      </w:r>
    </w:p>
    <w:p w14:paraId="54E015C7" w14:textId="77777777" w:rsidR="00746222" w:rsidRPr="00746222" w:rsidRDefault="00746222" w:rsidP="00746222">
      <w:pPr>
        <w:numPr>
          <w:ilvl w:val="0"/>
          <w:numId w:val="1"/>
        </w:numPr>
        <w:rPr>
          <w:rFonts w:ascii="Inter" w:eastAsia="Times New Roman" w:hAnsi="Inter" w:cs="Times New Roman"/>
          <w:kern w:val="0"/>
          <w:sz w:val="20"/>
          <w:szCs w:val="20"/>
          <w14:ligatures w14:val="none"/>
        </w:rPr>
        <w:spacing w:before="360" w:after="120"/>
        <w:pBdr>
          <w:left w:val="single" w:sz="12" w:space="6" w:color="1A6FD4"/>
        </w:pBdr>
      </w:pPr>
      <w:r w:rsidRPr="00746222">
        <w:rPr>
          <w:rFonts w:ascii="Arial" w:eastAsia="Times New Roman" w:hAnsi="Arial" w:cs="Arial"/>
          <w:b/>
          <w:bCs/>
          <w:kern w:val="0"/>
          <w:sz w:val="26"/>
          <w:szCs w:val="20"/>
          <w14:ligatures w14:val="none"/>
          <w:color w:val="1A6FD4"/>
        </w:rPr>
        <w:t>Auditors and Regulators</w:t>
      </w:r>
    </w:p>
    <w:p w14:paraId="33B04F4E" w14:textId="77777777" w:rsidR="00746222" w:rsidRPr="00746222" w:rsidRDefault="00746222" w:rsidP="00746222">
      <w:pPr>
        <w:spacing w:after="80" w:line="300" w:lineRule="auto"/>
        <w:ind w:left="720"/>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Focus on formal security properties, governance constraints, auditability mechanisms, and cryptographic disclosures throughout the document.</w:t>
      </w:r>
    </w:p>
    <w:p w14:paraId="271D9115" w14:textId="77777777" w:rsidR="00746222" w:rsidRDefault="00746222" w:rsidP="00746222">
      <w:pPr>
        <w:spacing w:after="0" w:line="300" w:lineRule="auto"/>
        <w:rPr>
          <w:rFonts w:ascii="Inter" w:eastAsia="Times New Roman" w:hAnsi="Inter" w:cs="Times New Roman"/>
          <w:kern w:val="0"/>
          <w:sz w:val="20"/>
          <w:szCs w:val="20"/>
          <w14:ligatures w14:val="none"/>
        </w:rPr>
      </w:pPr>
    </w:p>
    <w:p w14:paraId="0DDF3F47" w14:textId="4A5B2EC1" w:rsidR="00746222" w:rsidRDefault="00030812" w:rsidP="0074622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2AE8F97D">
          <v:rect id="_x0000_i1028" alt="" style="width:468pt;height:.05pt;mso-width-percent:0;mso-height-percent:0;mso-width-percent:0;mso-height-percent:0" o:hralign="center" o:hrstd="t" o:hr="t" fillcolor="#a0a0a0" stroked="f"/>
        </w:pict>
      </w:r>
    </w:p>
    <w:p w14:paraId="2E2DC8FA" w14:textId="77777777" w:rsidR="00BF1B79" w:rsidRPr="00746222" w:rsidRDefault="00BF1B79" w:rsidP="00746222">
      <w:pPr>
        <w:spacing w:after="0" w:line="300" w:lineRule="auto"/>
        <w:rPr>
          <w:rFonts w:ascii="Inter" w:eastAsia="Times New Roman" w:hAnsi="Inter" w:cs="Times New Roman"/>
          <w:kern w:val="0"/>
          <w:sz w:val="20"/>
          <w:szCs w:val="20"/>
          <w14:ligatures w14:val="none"/>
        </w:rPr>
      </w:pPr>
    </w:p>
    <w:p w14:paraId="488B3566" w14:textId="7FC71807" w:rsidR="00746222" w:rsidRDefault="00746222" w:rsidP="00746222">
      <w:pPr>
        <w:outlineLvl w:val="1"/>
        <w:rPr>
          <w:rFonts w:ascii="Inter" w:eastAsia="Times New Roman" w:hAnsi="Inter" w:cs="Times New Roman"/>
          <w:b/>
          <w:bCs/>
          <w:kern w:val="0"/>
          <w14:ligatures w14:val="none"/>
        </w:rPr>
        <w:spacing w:before="360" w:after="120"/>
        <w:pBdr>
          <w:left w:val="single" w:sz="12" w:space="6" w:color="1A6FD4"/>
        </w:pBdr>
      </w:pPr>
      <w:r w:rsidRPr="00746222">
        <w:rPr>
          <w:rFonts w:ascii="Arial" w:eastAsia="Times New Roman" w:hAnsi="Arial" w:cs="Arial"/>
          <w:b/>
          <w:bCs/>
          <w:kern w:val="0"/>
          <w14:ligatures w14:val="none"/>
          <w:color w:val="1A6FD4"/>
          <w:sz w:val="26"/>
        </w:rPr>
        <w:t>Terminology and Notation Conventions</w:t>
      </w:r>
    </w:p>
    <w:p w14:paraId="3829DC9F" w14:textId="77777777" w:rsidR="00BF1B79" w:rsidRPr="00BF1B79" w:rsidRDefault="00BF1B79" w:rsidP="00746222">
      <w:pPr>
        <w:spacing w:after="0" w:line="300" w:lineRule="auto"/>
        <w:outlineLvl w:val="1"/>
        <w:rPr>
          <w:rFonts w:ascii="Inter" w:eastAsia="Times New Roman" w:hAnsi="Inter" w:cs="Times New Roman"/>
          <w:b/>
          <w:bCs/>
          <w:kern w:val="0"/>
          <w:sz w:val="10"/>
          <w:szCs w:val="10"/>
          <w14:ligatures w14:val="none"/>
        </w:rPr>
      </w:pPr>
    </w:p>
    <w:p w14:paraId="1F8C6326" w14:textId="77777777" w:rsidR="00746222" w:rsidRPr="00746222" w:rsidRDefault="00746222" w:rsidP="00746222">
      <w:pPr>
        <w:numPr>
          <w:ilvl w:val="0"/>
          <w:numId w:val="2"/>
        </w:num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b/>
          <w:bCs/>
          <w:kern w:val="0"/>
          <w:sz w:val="20"/>
          <w:szCs w:val="20"/>
          <w14:ligatures w14:val="none"/>
        </w:rPr>
        <w:t>“Must”, “Shall”</w:t>
      </w:r>
      <w:r w:rsidRPr="00746222">
        <w:rPr>
          <w:rFonts w:ascii="Inter" w:eastAsia="Times New Roman" w:hAnsi="Inter" w:cs="Inter"/>
          <w:kern w:val="0"/>
          <w:sz w:val="20"/>
          <w:szCs w:val="20"/>
          <w14:ligatures w14:val="none"/>
        </w:rPr>
        <w:t xml:space="preserve"> indicate protocol-level requirements.</w:t>
      </w:r>
    </w:p>
    <w:p w14:paraId="67C45B28" w14:textId="77777777" w:rsidR="00746222" w:rsidRPr="00746222" w:rsidRDefault="00746222" w:rsidP="00746222">
      <w:pPr>
        <w:numPr>
          <w:ilvl w:val="0"/>
          <w:numId w:val="2"/>
        </w:num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b/>
          <w:bCs/>
          <w:kern w:val="0"/>
          <w:sz w:val="20"/>
          <w:szCs w:val="20"/>
          <w14:ligatures w14:val="none"/>
        </w:rPr>
        <w:t>“Should”</w:t>
      </w:r>
      <w:r w:rsidRPr="00746222">
        <w:rPr>
          <w:rFonts w:ascii="Inter" w:eastAsia="Times New Roman" w:hAnsi="Inter" w:cs="Inter"/>
          <w:kern w:val="0"/>
          <w:sz w:val="20"/>
          <w:szCs w:val="20"/>
          <w14:ligatures w14:val="none"/>
        </w:rPr>
        <w:t xml:space="preserve"> indicates recommended but non-mandatory behavior.</w:t>
      </w:r>
    </w:p>
    <w:p w14:paraId="72E9E9C4" w14:textId="77777777" w:rsidR="00746222" w:rsidRPr="00746222" w:rsidRDefault="00746222" w:rsidP="00746222">
      <w:pPr>
        <w:numPr>
          <w:ilvl w:val="0"/>
          <w:numId w:val="2"/>
        </w:num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b/>
          <w:bCs/>
          <w:kern w:val="0"/>
          <w:sz w:val="20"/>
          <w:szCs w:val="20"/>
          <w14:ligatures w14:val="none"/>
        </w:rPr>
        <w:t>“May”</w:t>
      </w:r>
      <w:r w:rsidRPr="00746222">
        <w:rPr>
          <w:rFonts w:ascii="Inter" w:eastAsia="Times New Roman" w:hAnsi="Inter" w:cs="Inter"/>
          <w:kern w:val="0"/>
          <w:sz w:val="20"/>
          <w:szCs w:val="20"/>
          <w14:ligatures w14:val="none"/>
        </w:rPr>
        <w:t xml:space="preserve"> indicates optional behavior.</w:t>
      </w:r>
    </w:p>
    <w:p w14:paraId="12B9F50C" w14:textId="77777777" w:rsidR="00746222" w:rsidRPr="00746222" w:rsidRDefault="00746222" w:rsidP="00746222">
      <w:pPr>
        <w:spacing w:after="0" w:line="300" w:lineRule="auto"/>
        <w:rPr>
          <w:rFonts w:ascii="Inter" w:eastAsia="Times New Roman" w:hAnsi="Inter" w:cs="Times New Roman"/>
          <w:kern w:val="0"/>
          <w:sz w:val="20"/>
          <w:szCs w:val="20"/>
          <w14:ligatures w14:val="none"/>
        </w:rPr>
      </w:pPr>
    </w:p>
    <w:p w14:paraId="5E915A6F" w14:textId="087C98FB" w:rsidR="00BF1B79" w:rsidRDefault="00746222" w:rsidP="00BF1B79">
      <w:p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Cryptographic notation follows standard academic conventions. Security claims are stated under explicit assumptions and should not be interpreted as unconditional guarantees.</w:t>
      </w:r>
    </w:p>
    <w:p w14:paraId="01D45305" w14:textId="77777777" w:rsidR="00BF1B79" w:rsidRPr="00BF1B79" w:rsidRDefault="00BF1B79" w:rsidP="00BF1B79">
      <w:pPr>
        <w:spacing w:after="0" w:line="300" w:lineRule="auto"/>
        <w:rPr>
          <w:rFonts w:ascii="Inter" w:eastAsia="Times New Roman" w:hAnsi="Inter" w:cs="Times New Roman"/>
          <w:kern w:val="0"/>
          <w:sz w:val="20"/>
          <w:szCs w:val="20"/>
          <w14:ligatures w14:val="none"/>
        </w:rPr>
      </w:pPr>
    </w:p>
    <w:p w14:paraId="094733A3" w14:textId="77777777" w:rsidR="00BF1B79" w:rsidRDefault="00030812" w:rsidP="00BF1B7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632038">
          <v:rect id="_x0000_i1027" alt="" style="width:468pt;height:.05pt;mso-width-percent:0;mso-height-percent:0;mso-width-percent:0;mso-height-percent:0" o:hralign="center" o:hrstd="t" o:hr="t" fillcolor="#a0a0a0" stroked="f"/>
        </w:pict>
      </w:r>
    </w:p>
    <w:p w14:paraId="0BA18594" w14:textId="77777777" w:rsidR="00BF1B79" w:rsidRPr="00BF1B79" w:rsidRDefault="00BF1B79" w:rsidP="00BF1B79">
      <w:pPr>
        <w:spacing w:after="0" w:line="240" w:lineRule="auto"/>
        <w:rPr>
          <w:rFonts w:ascii="Times New Roman" w:eastAsia="Times New Roman" w:hAnsi="Times New Roman" w:cs="Times New Roman"/>
          <w:kern w:val="0"/>
          <w14:ligatures w14:val="none"/>
        </w:rPr>
      </w:pPr>
    </w:p>
    <w:p w14:paraId="0B94A97E" w14:textId="77777777" w:rsidR="00BF1B79" w:rsidRPr="00BF1B79" w:rsidRDefault="00BF1B79" w:rsidP="00BF1B79">
      <w:pPr>
        <w:outlineLvl w:val="1"/>
        <w:rPr>
          <w:rFonts w:ascii="Inter" w:eastAsia="Times New Roman" w:hAnsi="Inter" w:cs="Times New Roman"/>
          <w:b/>
          <w:bCs/>
          <w:kern w:val="0"/>
          <w14:ligatures w14:val="none"/>
        </w:rPr>
        <w:spacing w:before="360" w:after="120"/>
        <w:pBdr>
          <w:left w:val="single" w:sz="12" w:space="6" w:color="1A6FD4"/>
        </w:pBdr>
      </w:pPr>
      <w:r w:rsidRPr="00BF1B79">
        <w:rPr>
          <w:rFonts w:ascii="Arial" w:eastAsia="Times New Roman" w:hAnsi="Arial" w:cs="Arial"/>
          <w:b/>
          <w:bCs/>
          <w:kern w:val="0"/>
          <w14:ligatures w14:val="none"/>
          <w:color w:val="1A6FD4"/>
          <w:sz w:val="26"/>
        </w:rPr>
        <w:t>Document Scope, Terminology, and Disclosure Policy</w:t>
      </w:r>
    </w:p>
    <w:p w14:paraId="6136FFDE"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1602D13A" w14:textId="77777777" w:rsidR="00BF1B79" w:rsidRPr="00BF1B79" w:rsidRDefault="00BF1B79" w:rsidP="00BF1B79">
      <w:pPr>
        <w:outlineLvl w:val="2"/>
        <w:rPr>
          <w:rFonts w:ascii="Inter" w:eastAsia="Times New Roman" w:hAnsi="Inter" w:cs="Times New Roman"/>
          <w:b/>
          <w:bCs/>
          <w:kern w:val="0"/>
          <w:sz w:val="21"/>
          <w:szCs w:val="21"/>
          <w14:ligatures w14:val="none"/>
        </w:rPr>
        <w:spacing w:before="360" w:after="120"/>
        <w:pBdr>
          <w:left w:val="single" w:sz="12" w:space="6" w:color="1A6FD4"/>
        </w:pBdr>
      </w:pPr>
      <w:r w:rsidRPr="00BF1B79">
        <w:rPr>
          <w:rFonts w:ascii="Arial" w:eastAsia="Times New Roman" w:hAnsi="Arial" w:cs="Arial"/>
          <w:b/>
          <w:bCs/>
          <w:kern w:val="0"/>
          <w:sz w:val="26"/>
          <w:szCs w:val="21"/>
          <w14:ligatures w14:val="none"/>
          <w:color w:val="1A6FD4"/>
        </w:rPr>
        <w:t>1. Scope of Disclosure</w:t>
      </w:r>
    </w:p>
    <w:p w14:paraId="69DD9E0E"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This whitepaper defines the conceptual architecture, security properties, and system-level behavior of the Synergy Network protocol. It is expressly </w:t>
      </w:r>
      <w:r w:rsidRPr="00BF1B79">
        <w:rPr>
          <w:rFonts w:ascii="Inter" w:eastAsia="Times New Roman" w:hAnsi="Inter" w:cs="Inter"/>
          <w:b/>
          <w:bCs/>
          <w:kern w:val="0"/>
          <w:sz w:val="20"/>
          <w:szCs w:val="20"/>
          <w14:ligatures w14:val="none"/>
        </w:rPr>
        <w:t>not</w:t>
      </w:r>
      <w:r w:rsidRPr="00BF1B79">
        <w:rPr>
          <w:rFonts w:ascii="Inter" w:eastAsia="Times New Roman" w:hAnsi="Inter" w:cs="Inter"/>
          <w:kern w:val="0"/>
          <w:sz w:val="20"/>
          <w:szCs w:val="20"/>
          <w14:ligatures w14:val="none"/>
        </w:rPr>
        <w:t xml:space="preserve"> a low-level specification, reference implementation, or developer manual.</w:t>
      </w:r>
    </w:p>
    <w:p w14:paraId="7605759F"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4A7E3C3D" w14:textId="77777777" w:rsid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Descriptions are intentionally constrained to architectural roles, system interactions, security properties, incentive alignment, and governance models, while deliberately excluding claim-critical implementation detail.</w:t>
      </w:r>
    </w:p>
    <w:p w14:paraId="0ABF4139"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2846FDC3" w14:textId="77777777" w:rsidR="00BF1B79" w:rsidRPr="00BF1B79" w:rsidRDefault="00BF1B79" w:rsidP="00BF1B79">
      <w:pPr>
        <w:outlineLvl w:val="2"/>
        <w:rPr>
          <w:rFonts w:ascii="Inter" w:eastAsia="Times New Roman" w:hAnsi="Inter" w:cs="Times New Roman"/>
          <w:b/>
          <w:bCs/>
          <w:kern w:val="0"/>
          <w:sz w:val="21"/>
          <w:szCs w:val="21"/>
          <w14:ligatures w14:val="none"/>
        </w:rPr>
        <w:spacing w:before="360" w:after="120"/>
        <w:pBdr>
          <w:left w:val="single" w:sz="12" w:space="6" w:color="1A6FD4"/>
        </w:pBdr>
      </w:pPr>
      <w:r w:rsidRPr="00BF1B79">
        <w:rPr>
          <w:rFonts w:ascii="Arial" w:eastAsia="Times New Roman" w:hAnsi="Arial" w:cs="Arial"/>
          <w:b/>
          <w:bCs/>
          <w:kern w:val="0"/>
          <w:sz w:val="26"/>
          <w:szCs w:val="21"/>
          <w14:ligatures w14:val="none"/>
          <w:color w:val="1A6FD4"/>
        </w:rPr>
        <w:t>2. Terminology Lock and Canonical Usage</w:t>
      </w:r>
    </w:p>
    <w:p w14:paraId="7FFDBDC8"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The following terms are canonical throughout this document and all references to Synergy Network:</w:t>
      </w:r>
    </w:p>
    <w:p w14:paraId="446699EB"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2F2B9461" w14:textId="77777777" w:rsidR="00BF1B79" w:rsidRPr="00BF1B79" w:rsidRDefault="00BF1B79" w:rsidP="00BF1B79">
      <w:pPr>
        <w:ind w:left="360"/>
        <w:outlineLvl w:val="3"/>
        <w:rPr>
          <w:rFonts w:ascii="Inter" w:eastAsia="Times New Roman" w:hAnsi="Inter" w:cs="Times New Roman"/>
          <w:b/>
          <w:bCs/>
          <w:kern w:val="0"/>
          <w:sz w:val="20"/>
          <w:szCs w:val="20"/>
          <w14:ligatures w14:val="none"/>
        </w:rPr>
        <w:spacing w:before="240" w:after="80"/>
      </w:pPr>
      <w:r w:rsidRPr="00BF1B79">
        <w:rPr>
          <w:rFonts w:ascii="Arial" w:eastAsia="Times New Roman" w:hAnsi="Arial" w:cs="Arial"/>
          <w:b/>
          <w:bCs/>
          <w:kern w:val="0"/>
          <w:sz w:val="22"/>
          <w:szCs w:val="20"/>
          <w14:ligatures w14:val="none"/>
          <w:color w:val="6B35BF"/>
        </w:rPr>
        <w:t>2.1 Post-Quantum Cryptographic Core</w:t>
      </w:r>
    </w:p>
    <w:p w14:paraId="35E81612"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The term refers exclusively to </w:t>
      </w:r>
      <w:r w:rsidRPr="00BF1B79">
        <w:rPr>
          <w:rFonts w:ascii="Inter" w:eastAsia="Times New Roman" w:hAnsi="Inter" w:cs="Inter"/>
          <w:b/>
          <w:bCs/>
          <w:kern w:val="0"/>
          <w:sz w:val="20"/>
          <w:szCs w:val="20"/>
          <w14:ligatures w14:val="none"/>
        </w:rPr>
        <w:t>Aegis</w:t>
      </w:r>
      <w:r w:rsidRPr="00BF1B79">
        <w:rPr>
          <w:rFonts w:ascii="Inter" w:eastAsia="Times New Roman" w:hAnsi="Inter" w:cs="Inter"/>
          <w:kern w:val="0"/>
          <w:sz w:val="20"/>
          <w:szCs w:val="20"/>
          <w14:ligatures w14:val="none"/>
        </w:rPr>
        <w:t>, encompassing quantum-resistant signatures, key encapsulation, threshold cryptography, distributed key generation, entropy beacons, and cryptographic lifecycle management enforced at the protocol level.</w:t>
      </w:r>
    </w:p>
    <w:p w14:paraId="23A3794C"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p>
    <w:p w14:paraId="51711A65"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No other cryptographic subsystem is implied.</w:t>
      </w:r>
    </w:p>
    <w:p w14:paraId="7B0E80F6"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p>
    <w:p w14:paraId="76764943" w14:textId="77777777" w:rsidR="00BF1B79" w:rsidRPr="00BF1B79" w:rsidRDefault="00BF1B79" w:rsidP="00BF1B79">
      <w:pPr>
        <w:ind w:left="360"/>
        <w:outlineLvl w:val="3"/>
        <w:rPr>
          <w:rFonts w:ascii="Inter" w:eastAsia="Times New Roman" w:hAnsi="Inter" w:cs="Times New Roman"/>
          <w:b/>
          <w:bCs/>
          <w:kern w:val="0"/>
          <w:sz w:val="20"/>
          <w:szCs w:val="20"/>
          <w14:ligatures w14:val="none"/>
        </w:rPr>
        <w:spacing w:before="240" w:after="80"/>
      </w:pPr>
      <w:r w:rsidRPr="00BF1B79">
        <w:rPr>
          <w:rFonts w:ascii="Arial" w:eastAsia="Times New Roman" w:hAnsi="Arial" w:cs="Arial"/>
          <w:b/>
          <w:bCs/>
          <w:kern w:val="0"/>
          <w:sz w:val="22"/>
          <w:szCs w:val="20"/>
          <w14:ligatures w14:val="none"/>
          <w:color w:val="6B35BF"/>
        </w:rPr>
        <w:t>2.2 Deterministic Cross-Chain Attestation</w:t>
      </w:r>
    </w:p>
    <w:p w14:paraId="32E57EC2"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This term refers exclusively to verification mechanisms employed by </w:t>
      </w:r>
      <w:r w:rsidRPr="00BF1B79">
        <w:rPr>
          <w:rFonts w:ascii="Inter" w:eastAsia="Times New Roman" w:hAnsi="Inter" w:cs="Inter"/>
          <w:b/>
          <w:bCs/>
          <w:kern w:val="0"/>
          <w:sz w:val="20"/>
          <w:szCs w:val="20"/>
          <w14:ligatures w14:val="none"/>
        </w:rPr>
        <w:t>SXCP</w:t>
      </w:r>
      <w:r w:rsidRPr="00BF1B79">
        <w:rPr>
          <w:rFonts w:ascii="Inter" w:eastAsia="Times New Roman" w:hAnsi="Inter" w:cs="Inter"/>
          <w:kern w:val="0"/>
          <w:sz w:val="20"/>
          <w:szCs w:val="20"/>
          <w14:ligatures w14:val="none"/>
        </w:rPr>
        <w:t>, denoting cryptographically verifiable, deterministic validation of external blockchain state without custodial bridges or probabilistic trust assumptions.</w:t>
      </w:r>
    </w:p>
    <w:p w14:paraId="293CB637"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p>
    <w:p w14:paraId="19271860" w14:textId="77777777" w:rsidR="00BF1B79" w:rsidRPr="00BF1B79" w:rsidRDefault="00BF1B79" w:rsidP="00BF1B79">
      <w:pPr>
        <w:ind w:left="360"/>
        <w:outlineLvl w:val="3"/>
        <w:rPr>
          <w:rFonts w:ascii="Inter" w:eastAsia="Times New Roman" w:hAnsi="Inter" w:cs="Times New Roman"/>
          <w:b/>
          <w:bCs/>
          <w:kern w:val="0"/>
          <w:sz w:val="20"/>
          <w:szCs w:val="20"/>
          <w14:ligatures w14:val="none"/>
        </w:rPr>
        <w:spacing w:before="240" w:after="80"/>
      </w:pPr>
      <w:r w:rsidRPr="00BF1B79">
        <w:rPr>
          <w:rFonts w:ascii="Arial" w:eastAsia="Times New Roman" w:hAnsi="Arial" w:cs="Arial"/>
          <w:b/>
          <w:bCs/>
          <w:kern w:val="0"/>
          <w:sz w:val="22"/>
          <w:szCs w:val="20"/>
          <w14:ligatures w14:val="none"/>
          <w:color w:val="6B35BF"/>
        </w:rPr>
        <w:lastRenderedPageBreak/>
        <w:t>2.3 Cooperative Consensus Weighting</w:t>
      </w:r>
    </w:p>
    <w:p w14:paraId="0BDEDDCA" w14:textId="77777777" w:rsidR="00BF1B79" w:rsidRDefault="00BF1B79" w:rsidP="00BF1B79">
      <w:pPr>
        <w:spacing w:after="0" w:line="288" w:lineRule="auto"/>
        <w:ind w:left="360"/>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This term refers exclusively to the validator influence framework employed by </w:t>
      </w:r>
      <w:r w:rsidRPr="00BF1B79">
        <w:rPr>
          <w:rFonts w:ascii="Inter" w:eastAsia="Times New Roman" w:hAnsi="Inter" w:cs="Inter"/>
          <w:b/>
          <w:bCs/>
          <w:kern w:val="0"/>
          <w:sz w:val="20"/>
          <w:szCs w:val="20"/>
          <w14:ligatures w14:val="none"/>
        </w:rPr>
        <w:t>PoSy</w:t>
      </w:r>
      <w:r w:rsidRPr="00BF1B79">
        <w:rPr>
          <w:rFonts w:ascii="Inter" w:eastAsia="Times New Roman" w:hAnsi="Inter" w:cs="Inter"/>
          <w:kern w:val="0"/>
          <w:sz w:val="20"/>
          <w:szCs w:val="20"/>
          <w14:ligatures w14:val="none"/>
        </w:rPr>
        <w:t>, incorporating multi-factor contribution-based weighting, cooperation-aligned incentives, and resistance to stake-based cartelization.</w:t>
      </w:r>
    </w:p>
    <w:p w14:paraId="0920F535" w14:textId="77777777" w:rsidR="00BF1B79" w:rsidRPr="00BF1B79" w:rsidRDefault="00BF1B79" w:rsidP="00BF1B79">
      <w:pPr>
        <w:spacing w:after="0" w:line="288" w:lineRule="auto"/>
        <w:ind w:left="360"/>
        <w:rPr>
          <w:rFonts w:ascii="Inter" w:eastAsia="Times New Roman" w:hAnsi="Inter" w:cs="Times New Roman"/>
          <w:kern w:val="0"/>
          <w:sz w:val="20"/>
          <w:szCs w:val="20"/>
          <w14:ligatures w14:val="none"/>
        </w:rPr>
      </w:pPr>
    </w:p>
    <w:p w14:paraId="19EC3904" w14:textId="77777777" w:rsidR="00BF1B79" w:rsidRPr="00BF1B79" w:rsidRDefault="00BF1B79" w:rsidP="00BF1B79">
      <w:pPr>
        <w:outlineLvl w:val="2"/>
        <w:rPr>
          <w:rFonts w:ascii="Inter" w:eastAsia="Times New Roman" w:hAnsi="Inter" w:cs="Times New Roman"/>
          <w:b/>
          <w:bCs/>
          <w:kern w:val="0"/>
          <w:sz w:val="21"/>
          <w:szCs w:val="21"/>
          <w14:ligatures w14:val="none"/>
        </w:rPr>
        <w:spacing w:before="360" w:after="120"/>
        <w:pBdr>
          <w:left w:val="single" w:sz="12" w:space="6" w:color="1A6FD4"/>
        </w:pBdr>
      </w:pPr>
      <w:r w:rsidRPr="00BF1B79">
        <w:rPr>
          <w:rFonts w:ascii="Arial" w:eastAsia="Times New Roman" w:hAnsi="Arial" w:cs="Arial"/>
          <w:b/>
          <w:bCs/>
          <w:kern w:val="0"/>
          <w:sz w:val="26"/>
          <w:szCs w:val="21"/>
          <w14:ligatures w14:val="none"/>
          <w:color w:val="1A6FD4"/>
        </w:rPr>
        <w:t>3. Non-Enabling Disclosure Boundary</w:t>
      </w:r>
    </w:p>
    <w:p w14:paraId="33F12A0F"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The main body of this document explicitly excludes exact formulas, numerical thresholds, pseudocode, parameter values, and cryptographic construction internals beyond high-level description. All such references remain abstract and qualitative.</w:t>
      </w:r>
    </w:p>
    <w:p w14:paraId="45E756F1" w14:textId="09976A3B"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56FF3F0E" w14:textId="77777777" w:rsidR="00BF1B79" w:rsidRPr="00BF1B79" w:rsidRDefault="00BF1B79" w:rsidP="00BF1B79">
      <w:pPr>
        <w:outlineLvl w:val="2"/>
        <w:rPr>
          <w:rFonts w:ascii="Inter" w:eastAsia="Times New Roman" w:hAnsi="Inter" w:cs="Times New Roman"/>
          <w:b/>
          <w:bCs/>
          <w:kern w:val="0"/>
          <w:sz w:val="21"/>
          <w:szCs w:val="21"/>
          <w14:ligatures w14:val="none"/>
        </w:rPr>
        <w:spacing w:before="360" w:after="120"/>
        <w:pBdr>
          <w:left w:val="single" w:sz="12" w:space="6" w:color="1A6FD4"/>
        </w:pBdr>
      </w:pPr>
      <w:r w:rsidRPr="00BF1B79">
        <w:rPr>
          <w:rFonts w:ascii="Arial" w:eastAsia="Times New Roman" w:hAnsi="Arial" w:cs="Arial"/>
          <w:b/>
          <w:bCs/>
          <w:kern w:val="0"/>
          <w:sz w:val="26"/>
          <w:szCs w:val="21"/>
          <w14:ligatures w14:val="none"/>
          <w:color w:val="1A6FD4"/>
        </w:rPr>
        <w:t>4. Appendices and Conceptual Sketches</w:t>
      </w:r>
    </w:p>
    <w:p w14:paraId="69B7A848"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Any material approaching algorithmic specificity appears only in appendices explicitly labeled as </w:t>
      </w:r>
      <w:r w:rsidRPr="00BF1B79">
        <w:rPr>
          <w:rFonts w:ascii="Inter" w:eastAsia="Times New Roman" w:hAnsi="Inter" w:cs="Inter"/>
          <w:b/>
          <w:bCs/>
          <w:kern w:val="0"/>
          <w:sz w:val="20"/>
          <w:szCs w:val="20"/>
          <w14:ligatures w14:val="none"/>
        </w:rPr>
        <w:t>non-enabling conceptual material</w:t>
      </w:r>
      <w:r w:rsidRPr="00BF1B79">
        <w:rPr>
          <w:rFonts w:ascii="Inter" w:eastAsia="Times New Roman" w:hAnsi="Inter" w:cs="Inter"/>
          <w:kern w:val="0"/>
          <w:sz w:val="20"/>
          <w:szCs w:val="20"/>
          <w14:ligatures w14:val="none"/>
        </w:rPr>
        <w:t xml:space="preserve"> and does not supersede this disclosure boundary.</w:t>
      </w:r>
    </w:p>
    <w:p w14:paraId="45BFD0B6" w14:textId="10D2FED3"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6AB6A7F0" w14:textId="77777777" w:rsidR="00BF1B79" w:rsidRPr="00BF1B79" w:rsidRDefault="00BF1B79" w:rsidP="00BF1B79">
      <w:pPr>
        <w:outlineLvl w:val="2"/>
        <w:rPr>
          <w:rFonts w:ascii="Inter" w:eastAsia="Times New Roman" w:hAnsi="Inter" w:cs="Times New Roman"/>
          <w:b/>
          <w:bCs/>
          <w:kern w:val="0"/>
          <w:sz w:val="21"/>
          <w:szCs w:val="21"/>
          <w14:ligatures w14:val="none"/>
        </w:rPr>
        <w:spacing w:before="360" w:after="120"/>
        <w:pBdr>
          <w:left w:val="single" w:sz="12" w:space="6" w:color="1A6FD4"/>
        </w:pBdr>
      </w:pPr>
      <w:r w:rsidRPr="00BF1B79">
        <w:rPr>
          <w:rFonts w:ascii="Arial" w:eastAsia="Times New Roman" w:hAnsi="Arial" w:cs="Arial"/>
          <w:b/>
          <w:bCs/>
          <w:kern w:val="0"/>
          <w:sz w:val="26"/>
          <w:szCs w:val="21"/>
          <w14:ligatures w14:val="none"/>
          <w:color w:val="1A6FD4"/>
        </w:rPr>
        <w:t>5. Interpretive Priority</w:t>
      </w:r>
    </w:p>
    <w:p w14:paraId="788952EF"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In the event of ambiguity:</w:t>
      </w:r>
    </w:p>
    <w:p w14:paraId="473F8DB0" w14:textId="77777777" w:rsidR="00BF1B79" w:rsidRPr="00BF1B79" w:rsidRDefault="00BF1B79" w:rsidP="00BF1B79">
      <w:pPr>
        <w:numPr>
          <w:ilvl w:val="0"/>
          <w:numId w:val="3"/>
        </w:num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This section governs interpretation.</w:t>
      </w:r>
    </w:p>
    <w:p w14:paraId="6C2B844F" w14:textId="77777777" w:rsidR="00BF1B79" w:rsidRPr="00BF1B79" w:rsidRDefault="00BF1B79" w:rsidP="00BF1B79">
      <w:pPr>
        <w:numPr>
          <w:ilvl w:val="0"/>
          <w:numId w:val="3"/>
        </w:num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Patent filings govern implementation authority.</w:t>
      </w:r>
    </w:p>
    <w:p w14:paraId="5C7FAFB3" w14:textId="77777777" w:rsidR="00BF1B79" w:rsidRPr="00BF1B79" w:rsidRDefault="00BF1B79" w:rsidP="00BF1B79">
      <w:pPr>
        <w:numPr>
          <w:ilvl w:val="0"/>
          <w:numId w:val="3"/>
        </w:num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Protocol code governs operational behavior.</w:t>
      </w:r>
    </w:p>
    <w:p w14:paraId="29846089" w14:textId="77777777" w:rsidR="00BF1B79" w:rsidRPr="00BF1B79" w:rsidRDefault="00BF1B79" w:rsidP="00BF1B79">
      <w:pPr>
        <w:spacing w:after="0" w:line="288" w:lineRule="auto"/>
        <w:rPr>
          <w:rFonts w:ascii="Inter" w:eastAsia="Times New Roman" w:hAnsi="Inter" w:cs="Times New Roman"/>
          <w:kern w:val="0"/>
          <w:sz w:val="20"/>
          <w:szCs w:val="20"/>
          <w14:ligatures w14:val="none"/>
        </w:rPr>
      </w:pPr>
    </w:p>
    <w:p w14:paraId="567840EF" w14:textId="77777777" w:rsidR="00BF1B79" w:rsidRDefault="00BF1B79" w:rsidP="00BF1B79">
      <w:pPr>
        <w:spacing w:after="0" w:line="288" w:lineRule="auto"/>
        <w:rPr>
          <w:rFonts w:ascii="Inter" w:eastAsia="Times New Roman" w:hAnsi="Inter" w:cs="Times New Roman"/>
          <w:kern w:val="0"/>
          <w:sz w:val="20"/>
          <w:szCs w:val="20"/>
          <w14:ligatures w14:val="none"/>
        </w:rPr>
      </w:pPr>
      <w:r w:rsidRPr="00BF1B79">
        <w:rPr>
          <w:rFonts w:ascii="Inter" w:eastAsia="Times New Roman" w:hAnsi="Inter" w:cs="Inter"/>
          <w:kern w:val="0"/>
          <w:sz w:val="20"/>
          <w:szCs w:val="20"/>
          <w14:ligatures w14:val="none"/>
        </w:rPr>
        <w:t xml:space="preserve">This document must always be interpreted as </w:t>
      </w:r>
      <w:r w:rsidRPr="00BF1B79">
        <w:rPr>
          <w:rFonts w:ascii="Inter" w:eastAsia="Times New Roman" w:hAnsi="Inter" w:cs="Inter"/>
          <w:b/>
          <w:bCs/>
          <w:kern w:val="0"/>
          <w:sz w:val="20"/>
          <w:szCs w:val="20"/>
          <w14:ligatures w14:val="none"/>
        </w:rPr>
        <w:t>descriptive, not enabling</w:t>
      </w:r>
      <w:r w:rsidRPr="00BF1B79">
        <w:rPr>
          <w:rFonts w:ascii="Inter" w:eastAsia="Times New Roman" w:hAnsi="Inter" w:cs="Inter"/>
          <w:kern w:val="0"/>
          <w:sz w:val="20"/>
          <w:szCs w:val="20"/>
          <w14:ligatures w14:val="none"/>
        </w:rPr>
        <w:t>.</w:t>
      </w:r>
    </w:p>
    <w:p w14:paraId="3E164D78" w14:textId="77777777" w:rsidR="009800D2" w:rsidRPr="009800D2" w:rsidRDefault="009800D2" w:rsidP="009800D2">
      <w:pPr>
        <w:spacing w:after="0" w:line="288" w:lineRule="auto"/>
        <w:rPr>
          <w:rFonts w:ascii="Inter" w:eastAsia="Times New Roman" w:hAnsi="Inter" w:cs="Times New Roman"/>
          <w:b/>
          <w:bCs/>
          <w:i/>
          <w:iCs/>
          <w:kern w:val="0"/>
          <w:sz w:val="20"/>
          <w:szCs w:val="20"/>
          <w14:ligatures w14:val="none"/>
        </w:rPr>
      </w:pPr>
      <w:r w:rsidRPr="009800D2">
        <w:rPr>
          <w:rFonts w:ascii="Inter" w:eastAsia="Times New Roman" w:hAnsi="Inter" w:cs="Inter"/>
          <w:b/>
          <w:bCs/>
          <w:i/>
          <w:iCs/>
          <w:kern w:val="0"/>
          <w:sz w:val="20"/>
          <w:szCs w:val="20"/>
          <w:u w:val="single"/>
          <w14:ligatures w14:val="none"/>
        </w:rPr>
        <w:t>Mandatory sustainability disclosures</w:t>
      </w:r>
      <w:r w:rsidRPr="009800D2">
        <w:rPr>
          <w:rFonts w:ascii="Inter" w:eastAsia="Times New Roman" w:hAnsi="Inter" w:cs="Inter"/>
          <w:b/>
          <w:bCs/>
          <w:i/>
          <w:iCs/>
          <w:kern w:val="0"/>
          <w:sz w:val="20"/>
          <w:szCs w:val="20"/>
          <w14:ligatures w14:val="none"/>
        </w:rPr>
        <w:t xml:space="preserve"> required under MiCA are provided in </w:t>
      </w:r>
      <w:r w:rsidRPr="009800D2">
        <w:rPr>
          <w:rFonts w:ascii="Inter" w:eastAsia="Times New Roman" w:hAnsi="Inter" w:cs="Inter"/>
          <w:b/>
          <w:bCs/>
          <w:i/>
          <w:iCs/>
          <w:kern w:val="0"/>
          <w:sz w:val="20"/>
          <w:szCs w:val="20"/>
          <w:u w:val="single"/>
          <w14:ligatures w14:val="none"/>
        </w:rPr>
        <w:t>Section 10.5</w:t>
      </w:r>
      <w:r w:rsidRPr="009800D2">
        <w:rPr>
          <w:rFonts w:ascii="Inter" w:eastAsia="Times New Roman" w:hAnsi="Inter" w:cs="Inter"/>
          <w:b/>
          <w:bCs/>
          <w:i/>
          <w:iCs/>
          <w:kern w:val="0"/>
          <w:sz w:val="20"/>
          <w:szCs w:val="20"/>
          <w14:ligatures w14:val="none"/>
        </w:rPr>
        <w:t xml:space="preserve">, with detailed methodology in </w:t>
      </w:r>
      <w:r w:rsidRPr="009800D2">
        <w:rPr>
          <w:rFonts w:ascii="Inter" w:eastAsia="Times New Roman" w:hAnsi="Inter" w:cs="Inter"/>
          <w:b/>
          <w:bCs/>
          <w:i/>
          <w:iCs/>
          <w:kern w:val="0"/>
          <w:sz w:val="20"/>
          <w:szCs w:val="20"/>
          <w:u w:val="single"/>
          <w14:ligatures w14:val="none"/>
        </w:rPr>
        <w:t>Appendix H.</w:t>
      </w:r>
    </w:p>
    <w:p w14:paraId="1E3192E7" w14:textId="77777777" w:rsidR="00746222" w:rsidRPr="00BF1B79" w:rsidRDefault="00746222" w:rsidP="00BF1B79">
      <w:pPr>
        <w:spacing w:after="0" w:line="288" w:lineRule="auto"/>
        <w:rPr>
          <w:rFonts w:ascii="Inter" w:eastAsia="Times New Roman" w:hAnsi="Inter" w:cs="Times New Roman"/>
          <w:kern w:val="0"/>
          <w:sz w:val="15"/>
          <w:szCs w:val="15"/>
          <w14:ligatures w14:val="none"/>
        </w:rPr>
      </w:pPr>
    </w:p>
    <w:p w14:paraId="6257FEF1" w14:textId="372EEC72" w:rsidR="00746222" w:rsidRPr="00746222" w:rsidRDefault="00030812" w:rsidP="0074622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20329F42">
          <v:rect id="_x0000_i1026" alt="" style="width:468pt;height:.05pt;mso-width-percent:0;mso-height-percent:0;mso-width-percent:0;mso-height-percent:0" o:hralign="center" o:hrstd="t" o:hr="t" fillcolor="#a0a0a0" stroked="f"/>
        </w:pict>
      </w:r>
    </w:p>
    <w:p w14:paraId="415D9172" w14:textId="77777777" w:rsidR="00746222" w:rsidRDefault="00746222" w:rsidP="00746222">
      <w:pPr>
        <w:spacing w:after="0" w:line="300" w:lineRule="auto"/>
        <w:rPr>
          <w:rFonts w:ascii="Inter" w:eastAsia="Times New Roman" w:hAnsi="Inter" w:cs="Times New Roman"/>
          <w:b/>
          <w:bCs/>
          <w:color w:val="0E0E0E"/>
          <w:kern w:val="0"/>
          <w:sz w:val="20"/>
          <w:szCs w:val="20"/>
          <w14:ligatures w14:val="none"/>
        </w:rPr>
      </w:pPr>
    </w:p>
    <w:p w14:paraId="2C5EAC3D" w14:textId="6EDD7850" w:rsidR="00746222" w:rsidRPr="00746222" w:rsidRDefault="00746222" w:rsidP="00746222">
      <w:pPr>
        <w:rPr>
          <w:rFonts w:ascii="Inter" w:eastAsia="Times New Roman" w:hAnsi="Inter" w:cs="Times New Roman"/>
          <w:color w:val="0E0E0E"/>
          <w:kern w:val="0"/>
          <w14:ligatures w14:val="none"/>
        </w:rPr>
        <w:spacing w:before="360" w:after="120"/>
        <w:pBdr>
          <w:left w:val="single" w:sz="12" w:space="6" w:color="1A6FD4"/>
        </w:pBdr>
      </w:pPr>
      <w:r w:rsidRPr="00746222">
        <w:rPr>
          <w:rFonts w:ascii="Arial" w:eastAsia="Times New Roman" w:hAnsi="Arial" w:cs="Arial"/>
          <w:b/>
          <w:bCs/>
          <w:kern w:val="0"/>
          <w14:ligatures w14:val="none"/>
          <w:color w:val="1A6FD4"/>
          <w:sz w:val="26"/>
        </w:rPr>
        <w:t>Disclosure on Patent-Protected Material</w:t>
      </w:r>
    </w:p>
    <w:p w14:paraId="47025DC0"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p>
    <w:p w14:paraId="40D3746E"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r w:rsidRPr="00746222">
        <w:rPr>
          <w:rFonts w:ascii="Inter" w:eastAsia="Times New Roman" w:hAnsi="Inter" w:cs="Inter"/>
          <w:color w:val="0E0E0E"/>
          <w:kern w:val="0"/>
          <w:sz w:val="20"/>
          <w:szCs w:val="20"/>
          <w14:ligatures w14:val="none"/>
        </w:rPr>
        <w:t xml:space="preserve">This document describes the architecture, security properties, and operational behavior of the Synergy Network protocol at a conceptual and systems level. Multiple components of the Synergy Network—including but not limited to </w:t>
      </w:r>
      <w:r w:rsidRPr="00746222">
        <w:rPr>
          <w:rFonts w:ascii="Inter" w:eastAsia="Times New Roman" w:hAnsi="Inter" w:cs="Inter"/>
          <w:b/>
          <w:bCs/>
          <w:color w:val="0E0E0E"/>
          <w:kern w:val="0"/>
          <w:sz w:val="20"/>
          <w:szCs w:val="20"/>
          <w14:ligatures w14:val="none"/>
        </w:rPr>
        <w:t>Proof-of-Synergy (PoSy) consensus</w:t>
      </w:r>
      <w:r w:rsidRPr="00746222">
        <w:rPr>
          <w:rFonts w:ascii="Inter" w:eastAsia="Times New Roman" w:hAnsi="Inter" w:cs="Inter"/>
          <w:color w:val="0E0E0E"/>
          <w:kern w:val="0"/>
          <w:sz w:val="20"/>
          <w:szCs w:val="20"/>
          <w14:ligatures w14:val="none"/>
        </w:rPr>
        <w:t xml:space="preserve">, the </w:t>
      </w:r>
      <w:r w:rsidRPr="00746222">
        <w:rPr>
          <w:rFonts w:ascii="Inter" w:eastAsia="Times New Roman" w:hAnsi="Inter" w:cs="Inter"/>
          <w:b/>
          <w:bCs/>
          <w:color w:val="0E0E0E"/>
          <w:kern w:val="0"/>
          <w:sz w:val="20"/>
          <w:szCs w:val="20"/>
          <w14:ligatures w14:val="none"/>
        </w:rPr>
        <w:t>Aegis Post-Quantum Cryptographic Core</w:t>
      </w:r>
      <w:r w:rsidRPr="00746222">
        <w:rPr>
          <w:rFonts w:ascii="Inter" w:eastAsia="Times New Roman" w:hAnsi="Inter" w:cs="Inter"/>
          <w:color w:val="0E0E0E"/>
          <w:kern w:val="0"/>
          <w:sz w:val="20"/>
          <w:szCs w:val="20"/>
          <w14:ligatures w14:val="none"/>
        </w:rPr>
        <w:t xml:space="preserve">, the </w:t>
      </w:r>
      <w:r w:rsidRPr="00746222">
        <w:rPr>
          <w:rFonts w:ascii="Inter" w:eastAsia="Times New Roman" w:hAnsi="Inter" w:cs="Inter"/>
          <w:b/>
          <w:bCs/>
          <w:color w:val="0E0E0E"/>
          <w:kern w:val="0"/>
          <w:sz w:val="20"/>
          <w:szCs w:val="20"/>
          <w14:ligatures w14:val="none"/>
        </w:rPr>
        <w:t>Synergy Cross-Chain Protocol (SXCP)</w:t>
      </w:r>
      <w:r w:rsidRPr="00746222">
        <w:rPr>
          <w:rFonts w:ascii="Inter" w:eastAsia="Times New Roman" w:hAnsi="Inter" w:cs="Inter"/>
          <w:color w:val="0E0E0E"/>
          <w:kern w:val="0"/>
          <w:sz w:val="20"/>
          <w:szCs w:val="20"/>
          <w14:ligatures w14:val="none"/>
        </w:rPr>
        <w:t xml:space="preserve">, and the </w:t>
      </w:r>
      <w:r w:rsidRPr="00746222">
        <w:rPr>
          <w:rFonts w:ascii="Inter" w:eastAsia="Times New Roman" w:hAnsi="Inter" w:cs="Inter"/>
          <w:b/>
          <w:bCs/>
          <w:color w:val="0E0E0E"/>
          <w:kern w:val="0"/>
          <w:sz w:val="20"/>
          <w:szCs w:val="20"/>
          <w14:ligatures w14:val="none"/>
        </w:rPr>
        <w:t>SynQ smart-contract language and virtual machine</w:t>
      </w:r>
      <w:r w:rsidRPr="00746222">
        <w:rPr>
          <w:rFonts w:ascii="Inter" w:eastAsia="Times New Roman" w:hAnsi="Inter" w:cs="Inter"/>
          <w:color w:val="0E0E0E"/>
          <w:kern w:val="0"/>
          <w:sz w:val="20"/>
          <w:szCs w:val="20"/>
          <w14:ligatures w14:val="none"/>
        </w:rPr>
        <w:t>—are the subject of one or more pending provisional patent applications.</w:t>
      </w:r>
    </w:p>
    <w:p w14:paraId="0B266619"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p>
    <w:p w14:paraId="5B278128"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r w:rsidRPr="00746222">
        <w:rPr>
          <w:rFonts w:ascii="Inter" w:eastAsia="Times New Roman" w:hAnsi="Inter" w:cs="Inter"/>
          <w:color w:val="0E0E0E"/>
          <w:kern w:val="0"/>
          <w:sz w:val="20"/>
          <w:szCs w:val="20"/>
          <w14:ligatures w14:val="none"/>
        </w:rPr>
        <w:t xml:space="preserve">Patent protection is asserted not only over individual components, but also over </w:t>
      </w:r>
      <w:r w:rsidRPr="00746222">
        <w:rPr>
          <w:rFonts w:ascii="Inter" w:eastAsia="Times New Roman" w:hAnsi="Inter" w:cs="Inter"/>
          <w:b/>
          <w:bCs/>
          <w:color w:val="0E0E0E"/>
          <w:kern w:val="0"/>
          <w:sz w:val="20"/>
          <w:szCs w:val="20"/>
          <w14:ligatures w14:val="none"/>
        </w:rPr>
        <w:t>their compositions, interactions, workflows, and lifecycle processes</w:t>
      </w:r>
      <w:r w:rsidRPr="00746222">
        <w:rPr>
          <w:rFonts w:ascii="Inter" w:eastAsia="Times New Roman" w:hAnsi="Inter" w:cs="Inter"/>
          <w:color w:val="0E0E0E"/>
          <w:kern w:val="0"/>
          <w:sz w:val="20"/>
          <w:szCs w:val="20"/>
          <w14:ligatures w14:val="none"/>
        </w:rPr>
        <w:t>, including but not limited to:</w:t>
      </w:r>
    </w:p>
    <w:p w14:paraId="1592BE97"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r w:rsidRPr="00746222">
        <w:rPr>
          <w:rFonts w:ascii="Inter" w:eastAsia="Times New Roman" w:hAnsi="Inter" w:cs="Inter"/>
          <w:color w:val="0E0E0E"/>
          <w:kern w:val="0"/>
          <w:sz w:val="20"/>
          <w:szCs w:val="20"/>
          <w14:ligatures w14:val="none"/>
        </w:rPr>
        <w:t>cooperative consensus weighting and validator influence models; post-quantum key generation, rotation, and threshold signature constructions; deterministic cross-chain attestation and state-proof validation mechanisms; cryptographic randomness and entropy beacons; smart-contract execution semantics; and governance-controlled upgrade, recovery, and emergency procedures.</w:t>
      </w:r>
    </w:p>
    <w:p w14:paraId="39A65F47"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p>
    <w:p w14:paraId="3EA1F804"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r w:rsidRPr="00746222">
        <w:rPr>
          <w:rFonts w:ascii="Inter" w:eastAsia="Times New Roman" w:hAnsi="Inter" w:cs="Inter"/>
          <w:color w:val="0E0E0E"/>
          <w:kern w:val="0"/>
          <w:sz w:val="20"/>
          <w:szCs w:val="20"/>
          <w14:ligatures w14:val="none"/>
        </w:rPr>
        <w:t xml:space="preserve">The descriptions contained herein are intentionally </w:t>
      </w:r>
      <w:r w:rsidRPr="00746222">
        <w:rPr>
          <w:rFonts w:ascii="Inter" w:eastAsia="Times New Roman" w:hAnsi="Inter" w:cs="Inter"/>
          <w:b/>
          <w:bCs/>
          <w:color w:val="0E0E0E"/>
          <w:kern w:val="0"/>
          <w:sz w:val="20"/>
          <w:szCs w:val="20"/>
          <w14:ligatures w14:val="none"/>
        </w:rPr>
        <w:t>non-enabling</w:t>
      </w:r>
      <w:r w:rsidRPr="00746222">
        <w:rPr>
          <w:rFonts w:ascii="Inter" w:eastAsia="Times New Roman" w:hAnsi="Inter" w:cs="Inter"/>
          <w:color w:val="0E0E0E"/>
          <w:kern w:val="0"/>
          <w:sz w:val="20"/>
          <w:szCs w:val="20"/>
          <w14:ligatures w14:val="none"/>
        </w:rPr>
        <w:t xml:space="preserve"> with respect to claim-critical details. Specific algorithms, parameterizations, thresholds, scoring functions, cryptographic constructions, data-structure layouts, and execution constants are either abstracted or omitted entirely. These details are disclosed only within applicable patent filings and authorized implementations of the Synergy Network protocol.</w:t>
      </w:r>
    </w:p>
    <w:p w14:paraId="66B48765"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p>
    <w:p w14:paraId="36BB14A5"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r w:rsidRPr="00746222">
        <w:rPr>
          <w:rFonts w:ascii="Inter" w:eastAsia="Times New Roman" w:hAnsi="Inter" w:cs="Inter"/>
          <w:color w:val="0E0E0E"/>
          <w:kern w:val="0"/>
          <w:sz w:val="20"/>
          <w:szCs w:val="20"/>
          <w14:ligatures w14:val="none"/>
        </w:rPr>
        <w:lastRenderedPageBreak/>
        <w:t>Publication of this document is intended to facilitate public understanding, technical evaluation, and academic discussion of the Synergy Network design. It does not grant, either expressly or by implication, any license to practice, replicate, or derive implementations of patented or patent-pending inventions outside the scope of the Synergy Network protocol and its governing terms.</w:t>
      </w:r>
    </w:p>
    <w:p w14:paraId="4213C772"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p>
    <w:p w14:paraId="0BD74186" w14:textId="77777777" w:rsidR="00746222" w:rsidRPr="00746222" w:rsidRDefault="00746222" w:rsidP="00746222">
      <w:pPr>
        <w:spacing w:after="0" w:line="300" w:lineRule="auto"/>
        <w:rPr>
          <w:rFonts w:ascii="Inter" w:eastAsia="Times New Roman" w:hAnsi="Inter" w:cs="Times New Roman"/>
          <w:color w:val="0E0E0E"/>
          <w:kern w:val="0"/>
          <w:sz w:val="20"/>
          <w:szCs w:val="20"/>
          <w14:ligatures w14:val="none"/>
        </w:rPr>
      </w:pPr>
      <w:r w:rsidRPr="00746222">
        <w:rPr>
          <w:rFonts w:ascii="Inter" w:eastAsia="Times New Roman" w:hAnsi="Inter" w:cs="Inter"/>
          <w:color w:val="0E0E0E"/>
          <w:kern w:val="0"/>
          <w:sz w:val="20"/>
          <w:szCs w:val="20"/>
          <w14:ligatures w14:val="none"/>
        </w:rPr>
        <w:t>Any attempt to independently reproduce, implement, or commercialize systems substantially similar to those described herein—whether by re-creation of individual subsystems or by recomposition of their interactions—may constitute infringement of one or more pending or issued patent claims.</w:t>
      </w:r>
    </w:p>
    <w:p w14:paraId="68EF1491" w14:textId="77777777" w:rsidR="00746222" w:rsidRDefault="00746222" w:rsidP="00746222">
      <w:pPr>
        <w:spacing w:after="0" w:line="300" w:lineRule="auto"/>
        <w:rPr>
          <w:rFonts w:ascii="Inter" w:eastAsia="Times New Roman" w:hAnsi="Inter" w:cs="Times New Roman"/>
          <w:kern w:val="0"/>
          <w:sz w:val="20"/>
          <w:szCs w:val="20"/>
          <w14:ligatures w14:val="none"/>
        </w:rPr>
      </w:pPr>
    </w:p>
    <w:p w14:paraId="48A4DA86" w14:textId="4DF91D8A" w:rsidR="00746222" w:rsidRPr="00746222" w:rsidRDefault="00030812" w:rsidP="00746222">
      <w:pPr>
        <w:spacing w:after="0" w:line="300" w:lineRule="auto"/>
        <w:rPr>
          <w:rFonts w:ascii="Inter" w:eastAsia="Times New Roman" w:hAnsi="Inter" w:cs="Times New Roman"/>
          <w:kern w:val="0"/>
          <w:sz w:val="20"/>
          <w:szCs w:val="20"/>
          <w14:ligatures w14:val="none"/>
        </w:rPr>
      </w:pPr>
      <w:r>
        <w:rPr>
          <w:rFonts w:ascii="Inter" w:eastAsia="Times New Roman" w:hAnsi="Inter" w:cs="Times New Roman"/>
          <w:noProof/>
          <w:kern w:val="0"/>
          <w:sz w:val="20"/>
          <w:szCs w:val="20"/>
        </w:rPr>
        <w:pict w14:anchorId="470922BC">
          <v:rect id="_x0000_i1025" alt="" style="width:468pt;height:.05pt;mso-width-percent:0;mso-height-percent:0;mso-width-percent:0;mso-height-percent:0" o:hralign="center" o:hrstd="t" o:hr="t" fillcolor="#a0a0a0" stroked="f"/>
        </w:pict>
      </w:r>
    </w:p>
    <w:p w14:paraId="6D0B9021" w14:textId="77777777" w:rsidR="00746222" w:rsidRDefault="00746222" w:rsidP="00746222">
      <w:pPr>
        <w:spacing w:after="0" w:line="300" w:lineRule="auto"/>
        <w:rPr>
          <w:rFonts w:ascii="Inter" w:eastAsia="Times New Roman" w:hAnsi="Inter" w:cs="Times New Roman"/>
          <w:kern w:val="0"/>
          <w:sz w:val="20"/>
          <w:szCs w:val="20"/>
          <w14:ligatures w14:val="none"/>
        </w:rPr>
      </w:pPr>
    </w:p>
    <w:p w14:paraId="546CB2E1" w14:textId="2C941FCA" w:rsidR="00746222" w:rsidRPr="00152BE7" w:rsidRDefault="00746222" w:rsidP="00746222">
      <w:pPr>
        <w:spacing w:after="0" w:line="300" w:lineRule="auto"/>
        <w:rPr>
          <w:rFonts w:ascii="Inter" w:eastAsia="Times New Roman" w:hAnsi="Inter" w:cs="Times New Roman"/>
          <w:kern w:val="0"/>
          <w:sz w:val="20"/>
          <w:szCs w:val="20"/>
          <w14:ligatures w14:val="none"/>
        </w:rPr>
      </w:pPr>
      <w:r w:rsidRPr="00746222">
        <w:rPr>
          <w:rFonts w:ascii="Inter" w:eastAsia="Times New Roman" w:hAnsi="Inter" w:cs="Inter"/>
          <w:kern w:val="0"/>
          <w:sz w:val="20"/>
          <w:szCs w:val="20"/>
          <w14:ligatures w14:val="none"/>
        </w:rPr>
        <w:t>With the scope, assumptions, and objectives now established, the remainder of this document proceeds by first examining the structural limitations of existing blockchain systems and the motivations that necessitate a fundamentally new architectural approach.</w:t>
      </w:r>
    </w:p>
    <w:sectPr w:rsidR="00746222" w:rsidRPr="00152BE7" w:rsidSect="00152BE7">
      <w:headerReference w:type="default" r:id="rId7"/>
      <w:footerReference w:type="default" r:id="rId8"/>
      <w:pgSz w:w="12240" w:h="15840"/>
      <w:pgMar w:top="882"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Front Matter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3995"/>
    <w:multiLevelType w:val="multilevel"/>
    <w:tmpl w:val="B038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95B2A"/>
    <w:multiLevelType w:val="multilevel"/>
    <w:tmpl w:val="39C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D006E"/>
    <w:multiLevelType w:val="multilevel"/>
    <w:tmpl w:val="6F28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4910793">
    <w:abstractNumId w:val="0"/>
  </w:num>
  <w:num w:numId="2" w16cid:durableId="583758276">
    <w:abstractNumId w:val="1"/>
  </w:num>
  <w:num w:numId="3" w16cid:durableId="540559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22"/>
    <w:rsid w:val="00013921"/>
    <w:rsid w:val="00030812"/>
    <w:rsid w:val="00152BE7"/>
    <w:rsid w:val="001C16BB"/>
    <w:rsid w:val="00746222"/>
    <w:rsid w:val="007A4D96"/>
    <w:rsid w:val="009800D2"/>
    <w:rsid w:val="009C735E"/>
    <w:rsid w:val="00BF1B79"/>
    <w:rsid w:val="00C04A83"/>
    <w:rsid w:val="00FD3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E1E0"/>
  <w15:chartTrackingRefBased/>
  <w15:docId w15:val="{DEB596A4-82A7-3D4C-811F-4275ABD8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746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62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62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2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2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2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62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62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2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222"/>
    <w:rPr>
      <w:rFonts w:eastAsiaTheme="majorEastAsia" w:cstheme="majorBidi"/>
      <w:color w:val="272727" w:themeColor="text1" w:themeTint="D8"/>
    </w:rPr>
  </w:style>
  <w:style w:type="paragraph" w:styleId="Title">
    <w:name w:val="Title"/>
    <w:basedOn w:val="Normal"/>
    <w:next w:val="Normal"/>
    <w:link w:val="TitleChar"/>
    <w:uiPriority w:val="10"/>
    <w:qFormat/>
    <w:rsid w:val="00746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222"/>
    <w:pPr>
      <w:spacing w:before="160"/>
      <w:jc w:val="center"/>
    </w:pPr>
    <w:rPr>
      <w:i/>
      <w:iCs/>
      <w:color w:val="404040" w:themeColor="text1" w:themeTint="BF"/>
    </w:rPr>
  </w:style>
  <w:style w:type="character" w:customStyle="1" w:styleId="QuoteChar">
    <w:name w:val="Quote Char"/>
    <w:basedOn w:val="DefaultParagraphFont"/>
    <w:link w:val="Quote"/>
    <w:uiPriority w:val="29"/>
    <w:rsid w:val="00746222"/>
    <w:rPr>
      <w:i/>
      <w:iCs/>
      <w:color w:val="404040" w:themeColor="text1" w:themeTint="BF"/>
    </w:rPr>
  </w:style>
  <w:style w:type="paragraph" w:styleId="ListParagraph">
    <w:name w:val="List Paragraph"/>
    <w:basedOn w:val="Normal"/>
    <w:uiPriority w:val="34"/>
    <w:qFormat/>
    <w:rsid w:val="00746222"/>
    <w:pPr>
      <w:ind w:left="720"/>
      <w:contextualSpacing/>
    </w:pPr>
  </w:style>
  <w:style w:type="character" w:styleId="IntenseEmphasis">
    <w:name w:val="Intense Emphasis"/>
    <w:basedOn w:val="DefaultParagraphFont"/>
    <w:uiPriority w:val="21"/>
    <w:qFormat/>
    <w:rsid w:val="00746222"/>
    <w:rPr>
      <w:i/>
      <w:iCs/>
      <w:color w:val="0F4761" w:themeColor="accent1" w:themeShade="BF"/>
    </w:rPr>
  </w:style>
  <w:style w:type="paragraph" w:styleId="IntenseQuote">
    <w:name w:val="Intense Quote"/>
    <w:basedOn w:val="Normal"/>
    <w:next w:val="Normal"/>
    <w:link w:val="IntenseQuoteChar"/>
    <w:uiPriority w:val="30"/>
    <w:qFormat/>
    <w:rsid w:val="00746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222"/>
    <w:rPr>
      <w:i/>
      <w:iCs/>
      <w:color w:val="0F4761" w:themeColor="accent1" w:themeShade="BF"/>
    </w:rPr>
  </w:style>
  <w:style w:type="character" w:styleId="IntenseReference">
    <w:name w:val="Intense Reference"/>
    <w:basedOn w:val="DefaultParagraphFont"/>
    <w:uiPriority w:val="32"/>
    <w:qFormat/>
    <w:rsid w:val="00746222"/>
    <w:rPr>
      <w:b/>
      <w:bCs/>
      <w:smallCaps/>
      <w:color w:val="0F4761" w:themeColor="accent1" w:themeShade="BF"/>
      <w:spacing w:val="5"/>
    </w:rPr>
  </w:style>
  <w:style w:type="paragraph" w:customStyle="1" w:styleId="p1">
    <w:name w:val="p1"/>
    <w:basedOn w:val="Normal"/>
    <w:rsid w:val="007462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46222"/>
  </w:style>
  <w:style w:type="paragraph" w:customStyle="1" w:styleId="p2">
    <w:name w:val="p2"/>
    <w:basedOn w:val="Normal"/>
    <w:rsid w:val="0074622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462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46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1692</Words>
  <Characters>12203</Characters>
  <Application>Microsoft Office Word</Application>
  <DocSecurity>0</DocSecurity>
  <Lines>254</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4</cp:revision>
  <dcterms:created xsi:type="dcterms:W3CDTF">2025-12-27T14:56:00Z</dcterms:created>
  <dcterms:modified xsi:type="dcterms:W3CDTF">2026-01-07T19:54:00Z</dcterms:modified>
</cp:coreProperties>
</file>