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3b3401a388e907e3cdbc850684052f7404b80f4"/>
    <w:p>
      <w:pPr>
        <w:pStyle w:val="Heading1"/>
      </w:pPr>
      <w:r>
        <w:t xml:space="preserve">Appendix G – Test Vector Catalog (Consensus &amp; SXCP)</w:t>
      </w:r>
    </w:p>
    <w:p>
      <w:pPr>
        <w:pStyle w:val="FirstParagraph"/>
      </w:pPr>
      <w:r>
        <w:t xml:space="preserve">This appendix catalogues the test vectors accompanying the Proof of Synergy specification. Test vectors are deterministic inputs and expected outputs used to validate implementations of the consensus protocol and SXCP. They are stored as JSON files in the</w:t>
      </w:r>
      <w:r>
        <w:t xml:space="preserve"> </w:t>
      </w:r>
      <w:r>
        <w:rPr>
          <w:rStyle w:val="VerbatimChar"/>
        </w:rPr>
        <w:t xml:space="preserve">test-vectors/</w:t>
      </w:r>
      <w:r>
        <w:t xml:space="preserve"> </w:t>
      </w:r>
      <w:r>
        <w:t xml:space="preserve">directory of the Synergy Network repository. Each vector has a unique identifier, human‑readable description and a set of fields relevant to the test.</w:t>
      </w:r>
    </w:p>
    <w:bookmarkStart w:id="20" w:name="g.1-consensus-test-vectors"/>
    <w:p>
      <w:pPr>
        <w:pStyle w:val="Heading2"/>
      </w:pPr>
      <w:r>
        <w:t xml:space="preserve">G.1 Consensus Test Vectors</w:t>
      </w:r>
    </w:p>
    <w:p>
      <w:pPr>
        <w:pStyle w:val="FirstParagraph"/>
      </w:pPr>
      <w:r>
        <w:t xml:space="preserve">These vectors validate the core consensus logic: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Fields</w:t>
            </w:r>
          </w:p>
        </w:tc>
      </w:tr>
      <w:tr>
        <w:tc>
          <w:tcPr/>
          <w:p>
            <w:pPr>
              <w:pStyle w:val="Compact"/>
              <w:jc w:val="left"/>
            </w:pPr>
            <w:r>
              <w:rPr>
                <w:rStyle w:val="VerbatimChar"/>
              </w:rPr>
              <w:t xml:space="preserve">CONSENSUS-01</w:t>
            </w:r>
          </w:p>
        </w:tc>
        <w:tc>
          <w:tcPr/>
          <w:p>
            <w:pPr>
              <w:pStyle w:val="Compact"/>
              <w:jc w:val="left"/>
            </w:pPr>
            <w:r>
              <w:t xml:space="preserve">Valid block proposal and PREPARE vote</w:t>
            </w:r>
          </w:p>
        </w:tc>
        <w:tc>
          <w:tcPr/>
          <w:p>
            <w:pPr>
              <w:pStyle w:val="Compact"/>
              <w:jc w:val="left"/>
            </w:pPr>
            <w:r>
              <w:t xml:space="preserve">Block header, proposer signature, expected vote message</w:t>
            </w:r>
          </w:p>
        </w:tc>
      </w:tr>
      <w:tr>
        <w:tc>
          <w:tcPr/>
          <w:p>
            <w:pPr>
              <w:pStyle w:val="Compact"/>
              <w:jc w:val="left"/>
            </w:pPr>
            <w:r>
              <w:rPr>
                <w:rStyle w:val="VerbatimChar"/>
              </w:rPr>
              <w:t xml:space="preserve">CONSENSUS-02</w:t>
            </w:r>
          </w:p>
        </w:tc>
        <w:tc>
          <w:tcPr/>
          <w:p>
            <w:pPr>
              <w:pStyle w:val="Compact"/>
              <w:jc w:val="left"/>
            </w:pPr>
            <w:r>
              <w:t xml:space="preserve">Duplicate vote detection (equivocation)</w:t>
            </w:r>
          </w:p>
        </w:tc>
        <w:tc>
          <w:tcPr/>
          <w:p>
            <w:pPr>
              <w:pStyle w:val="Compact"/>
              <w:jc w:val="left"/>
            </w:pPr>
            <w:r>
              <w:t xml:space="preserve">Two conflicting vote messages, expected slashing evidence</w:t>
            </w:r>
          </w:p>
        </w:tc>
      </w:tr>
      <w:tr>
        <w:tc>
          <w:tcPr/>
          <w:p>
            <w:pPr>
              <w:pStyle w:val="Compact"/>
              <w:jc w:val="left"/>
            </w:pPr>
            <w:r>
              <w:rPr>
                <w:rStyle w:val="VerbatimChar"/>
              </w:rPr>
              <w:t xml:space="preserve">CONSENSUS-03</w:t>
            </w:r>
          </w:p>
        </w:tc>
        <w:tc>
          <w:tcPr/>
          <w:p>
            <w:pPr>
              <w:pStyle w:val="Compact"/>
              <w:jc w:val="left"/>
            </w:pPr>
            <w:r>
              <w:t xml:space="preserve">View change after timeout</w:t>
            </w:r>
          </w:p>
        </w:tc>
        <w:tc>
          <w:tcPr/>
          <w:p>
            <w:pPr>
              <w:pStyle w:val="Compact"/>
              <w:jc w:val="left"/>
            </w:pPr>
            <w:r>
              <w:t xml:space="preserve">Round number, timeout event, expected VIEWCHANGE messages</w:t>
            </w:r>
          </w:p>
        </w:tc>
      </w:tr>
      <w:tr>
        <w:tc>
          <w:tcPr/>
          <w:p>
            <w:pPr>
              <w:pStyle w:val="Compact"/>
              <w:jc w:val="left"/>
            </w:pPr>
            <w:r>
              <w:rPr>
                <w:rStyle w:val="VerbatimChar"/>
              </w:rPr>
              <w:t xml:space="preserve">CONSENSUS-04</w:t>
            </w:r>
          </w:p>
        </w:tc>
        <w:tc>
          <w:tcPr/>
          <w:p>
            <w:pPr>
              <w:pStyle w:val="Compact"/>
              <w:jc w:val="left"/>
            </w:pPr>
            <w:r>
              <w:t xml:space="preserve">QC aggregation and verification</w:t>
            </w:r>
          </w:p>
        </w:tc>
        <w:tc>
          <w:tcPr/>
          <w:p>
            <w:pPr>
              <w:pStyle w:val="Compact"/>
              <w:jc w:val="left"/>
            </w:pPr>
            <w:r>
              <w:t xml:space="preserve">List of votes with weights, expected QC object</w:t>
            </w:r>
          </w:p>
        </w:tc>
      </w:tr>
      <w:tr>
        <w:tc>
          <w:tcPr/>
          <w:p>
            <w:pPr>
              <w:pStyle w:val="Compact"/>
              <w:jc w:val="left"/>
            </w:pPr>
            <w:r>
              <w:rPr>
                <w:rStyle w:val="VerbatimChar"/>
              </w:rPr>
              <w:t xml:space="preserve">CONSENSUS-05</w:t>
            </w:r>
          </w:p>
        </w:tc>
        <w:tc>
          <w:tcPr/>
          <w:p>
            <w:pPr>
              <w:pStyle w:val="Compact"/>
              <w:jc w:val="left"/>
            </w:pPr>
            <w:r>
              <w:t xml:space="preserve">Finalization and reward distribution</w:t>
            </w:r>
          </w:p>
        </w:tc>
        <w:tc>
          <w:tcPr/>
          <w:p>
            <w:pPr>
              <w:pStyle w:val="Compact"/>
              <w:jc w:val="left"/>
            </w:pPr>
            <w:r>
              <w:t xml:space="preserve">Sequence of QCs, expected finalized block hash, reward allocation</w:t>
            </w:r>
          </w:p>
        </w:tc>
      </w:tr>
    </w:tbl>
    <w:p>
      <w:pPr>
        <w:pStyle w:val="BodyText"/>
      </w:pPr>
      <w:r>
        <w:t xml:space="preserve">Each vector includes hex‑encoded hashes, Aegis signatures and normalized weights. The expected output details whether a QC is valid, whether a slash should occur and what the resulting on‑chain state should be.</w:t>
      </w:r>
    </w:p>
    <w:bookmarkEnd w:id="20"/>
    <w:bookmarkStart w:id="21" w:name="g.2-sxcp-test-vectors"/>
    <w:p>
      <w:pPr>
        <w:pStyle w:val="Heading2"/>
      </w:pPr>
      <w:r>
        <w:t xml:space="preserve">G.2 SXCP Test Vectors</w:t>
      </w:r>
    </w:p>
    <w:p>
      <w:pPr>
        <w:pStyle w:val="FirstParagraph"/>
      </w:pPr>
      <w:r>
        <w:t xml:space="preserve">SXCP vectors test cross‑chain interactions: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Fields</w:t>
            </w:r>
          </w:p>
        </w:tc>
      </w:tr>
      <w:tr>
        <w:tc>
          <w:tcPr/>
          <w:p>
            <w:pPr>
              <w:pStyle w:val="Compact"/>
              <w:jc w:val="left"/>
            </w:pPr>
            <w:r>
              <w:rPr>
                <w:rStyle w:val="VerbatimChar"/>
              </w:rPr>
              <w:t xml:space="preserve">SXCP-01</w:t>
            </w:r>
          </w:p>
        </w:tc>
        <w:tc>
          <w:tcPr/>
          <w:p>
            <w:pPr>
              <w:pStyle w:val="Compact"/>
              <w:jc w:val="left"/>
            </w:pPr>
            <w:r>
              <w:t xml:space="preserve">Valid Ethereum deposit attestation</w:t>
            </w:r>
          </w:p>
        </w:tc>
        <w:tc>
          <w:tcPr/>
          <w:p>
            <w:pPr>
              <w:pStyle w:val="Compact"/>
              <w:jc w:val="left"/>
            </w:pPr>
            <w:r>
              <w:t xml:space="preserve">Ethereum header, MPT proof, state root, expected SXCP attestation</w:t>
            </w:r>
          </w:p>
        </w:tc>
      </w:tr>
      <w:tr>
        <w:tc>
          <w:tcPr/>
          <w:p>
            <w:pPr>
              <w:pStyle w:val="Compact"/>
              <w:jc w:val="left"/>
            </w:pPr>
            <w:r>
              <w:rPr>
                <w:rStyle w:val="VerbatimChar"/>
              </w:rPr>
              <w:t xml:space="preserve">SXCP-02</w:t>
            </w:r>
          </w:p>
        </w:tc>
        <w:tc>
          <w:tcPr/>
          <w:p>
            <w:pPr>
              <w:pStyle w:val="Compact"/>
              <w:jc w:val="left"/>
            </w:pPr>
            <w:r>
              <w:t xml:space="preserve">Bitcoin withdrawal proof and refund</w:t>
            </w:r>
          </w:p>
        </w:tc>
        <w:tc>
          <w:tcPr/>
          <w:p>
            <w:pPr>
              <w:pStyle w:val="Compact"/>
              <w:jc w:val="left"/>
            </w:pPr>
            <w:r>
              <w:t xml:space="preserve">Sequence of Bitcoin headers, Merkle proof, expected refund operation</w:t>
            </w:r>
          </w:p>
        </w:tc>
      </w:tr>
      <w:tr>
        <w:tc>
          <w:tcPr/>
          <w:p>
            <w:pPr>
              <w:pStyle w:val="Compact"/>
              <w:jc w:val="left"/>
            </w:pPr>
            <w:r>
              <w:rPr>
                <w:rStyle w:val="VerbatimChar"/>
              </w:rPr>
              <w:t xml:space="preserve">SXCP-03</w:t>
            </w:r>
          </w:p>
        </w:tc>
        <w:tc>
          <w:tcPr/>
          <w:p>
            <w:pPr>
              <w:pStyle w:val="Compact"/>
              <w:jc w:val="left"/>
            </w:pPr>
            <w:r>
              <w:t xml:space="preserve">Solana event aggregation</w:t>
            </w:r>
          </w:p>
        </w:tc>
        <w:tc>
          <w:tcPr/>
          <w:p>
            <w:pPr>
              <w:pStyle w:val="Compact"/>
              <w:jc w:val="left"/>
            </w:pPr>
            <w:r>
              <w:t xml:space="preserve">Solana block metadata, event list, aggregated signature, expected confidence scores</w:t>
            </w:r>
          </w:p>
        </w:tc>
      </w:tr>
      <w:tr>
        <w:tc>
          <w:tcPr/>
          <w:p>
            <w:pPr>
              <w:pStyle w:val="Compact"/>
              <w:jc w:val="left"/>
            </w:pPr>
            <w:r>
              <w:rPr>
                <w:rStyle w:val="VerbatimChar"/>
              </w:rPr>
              <w:t xml:space="preserve">SXCP-04</w:t>
            </w:r>
          </w:p>
        </w:tc>
        <w:tc>
          <w:tcPr/>
          <w:p>
            <w:pPr>
              <w:pStyle w:val="Compact"/>
              <w:jc w:val="left"/>
            </w:pPr>
            <w:r>
              <w:t xml:space="preserve">Mis‑signature evidence submission</w:t>
            </w:r>
          </w:p>
        </w:tc>
        <w:tc>
          <w:tcPr/>
          <w:p>
            <w:pPr>
              <w:pStyle w:val="Compact"/>
              <w:jc w:val="left"/>
            </w:pPr>
            <w:r>
              <w:t xml:space="preserve">Malicious attestation, witness report, expected slashing record</w:t>
            </w:r>
          </w:p>
        </w:tc>
      </w:tr>
      <w:tr>
        <w:tc>
          <w:tcPr/>
          <w:p>
            <w:pPr>
              <w:pStyle w:val="Compact"/>
              <w:jc w:val="left"/>
            </w:pPr>
            <w:r>
              <w:rPr>
                <w:rStyle w:val="VerbatimChar"/>
              </w:rPr>
              <w:t xml:space="preserve">SXCP-05</w:t>
            </w:r>
          </w:p>
        </w:tc>
        <w:tc>
          <w:tcPr/>
          <w:p>
            <w:pPr>
              <w:pStyle w:val="Compact"/>
              <w:jc w:val="left"/>
            </w:pPr>
            <w:r>
              <w:t xml:space="preserve">Cross‑chain transfer state machine</w:t>
            </w:r>
          </w:p>
        </w:tc>
        <w:tc>
          <w:tcPr/>
          <w:p>
            <w:pPr>
              <w:pStyle w:val="Compact"/>
              <w:jc w:val="left"/>
            </w:pPr>
            <w:r>
              <w:t xml:space="preserve">Lock operation, attestation, claim, reorg, expected state transitions</w:t>
            </w:r>
          </w:p>
        </w:tc>
      </w:tr>
    </w:tbl>
    <w:p>
      <w:pPr>
        <w:pStyle w:val="BodyText"/>
      </w:pPr>
      <w:r>
        <w:t xml:space="preserve">These vectors require simulated external chain data. For reproducibility, regtest or local networks are used, and block hashes are fixed. Vectors also include expected gas consumption and bond adjustments.</w:t>
      </w:r>
    </w:p>
    <w:bookmarkEnd w:id="21"/>
    <w:bookmarkStart w:id="22" w:name="g.3-slashing-and-governance-vectors"/>
    <w:p>
      <w:pPr>
        <w:pStyle w:val="Heading2"/>
      </w:pPr>
      <w:r>
        <w:t xml:space="preserve">G.3 Slashing and Governance Vectors</w:t>
      </w:r>
    </w:p>
    <w:p>
      <w:pPr>
        <w:pStyle w:val="FirstParagraph"/>
      </w:pPr>
      <w:r>
        <w:t xml:space="preserve">Additional vectors cover slashing evidence processing and emergency procedures: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ID</w:t>
            </w:r>
          </w:p>
        </w:tc>
        <w:tc>
          <w:tcPr/>
          <w:p>
            <w:pPr>
              <w:pStyle w:val="Compact"/>
              <w:jc w:val="left"/>
            </w:pPr>
            <w:r>
              <w:t xml:space="preserve">Description</w:t>
            </w:r>
          </w:p>
        </w:tc>
      </w:tr>
      <w:tr>
        <w:tc>
          <w:tcPr/>
          <w:p>
            <w:pPr>
              <w:pStyle w:val="Compact"/>
              <w:jc w:val="left"/>
            </w:pPr>
            <w:r>
              <w:rPr>
                <w:rStyle w:val="VerbatimChar"/>
              </w:rPr>
              <w:t xml:space="preserve">SLASH-01</w:t>
            </w:r>
          </w:p>
        </w:tc>
        <w:tc>
          <w:tcPr/>
          <w:p>
            <w:pPr>
              <w:pStyle w:val="Compact"/>
              <w:jc w:val="left"/>
            </w:pPr>
            <w:r>
              <w:t xml:space="preserve">Valid equivocation evidence results in slashing</w:t>
            </w:r>
          </w:p>
        </w:tc>
      </w:tr>
      <w:tr>
        <w:tc>
          <w:tcPr/>
          <w:p>
            <w:pPr>
              <w:pStyle w:val="Compact"/>
              <w:jc w:val="left"/>
            </w:pPr>
            <w:r>
              <w:rPr>
                <w:rStyle w:val="VerbatimChar"/>
              </w:rPr>
              <w:t xml:space="preserve">SLASH-02</w:t>
            </w:r>
          </w:p>
        </w:tc>
        <w:tc>
          <w:tcPr/>
          <w:p>
            <w:pPr>
              <w:pStyle w:val="Compact"/>
              <w:jc w:val="left"/>
            </w:pPr>
            <w:r>
              <w:t xml:space="preserve">Late vote evidence with valid timestamps triggers partial slash</w:t>
            </w:r>
          </w:p>
        </w:tc>
      </w:tr>
      <w:tr>
        <w:tc>
          <w:tcPr/>
          <w:p>
            <w:pPr>
              <w:pStyle w:val="Compact"/>
              <w:jc w:val="left"/>
            </w:pPr>
            <w:r>
              <w:rPr>
                <w:rStyle w:val="VerbatimChar"/>
              </w:rPr>
              <w:t xml:space="preserve">GOV-01</w:t>
            </w:r>
          </w:p>
        </w:tc>
        <w:tc>
          <w:tcPr/>
          <w:p>
            <w:pPr>
              <w:pStyle w:val="Compact"/>
              <w:jc w:val="left"/>
            </w:pPr>
            <w:r>
              <w:t xml:space="preserve">Emergency pause invoked and vetoed by validators</w:t>
            </w:r>
          </w:p>
        </w:tc>
      </w:tr>
      <w:tr>
        <w:tc>
          <w:tcPr/>
          <w:p>
            <w:pPr>
              <w:pStyle w:val="Compact"/>
              <w:jc w:val="left"/>
            </w:pPr>
            <w:r>
              <w:rPr>
                <w:rStyle w:val="VerbatimChar"/>
              </w:rPr>
              <w:t xml:space="preserve">GOV-02</w:t>
            </w:r>
          </w:p>
        </w:tc>
        <w:tc>
          <w:tcPr/>
          <w:p>
            <w:pPr>
              <w:pStyle w:val="Compact"/>
              <w:jc w:val="left"/>
            </w:pPr>
            <w:r>
              <w:t xml:space="preserve">Security Council upgrade contract execution</w:t>
            </w:r>
          </w:p>
        </w:tc>
      </w:tr>
    </w:tbl>
    <w:p>
      <w:pPr>
        <w:pStyle w:val="BodyText"/>
      </w:pPr>
      <w:r>
        <w:t xml:space="preserve">Implementations must implement full support for all vector categories. When new features or bug fixes are introduced, corresponding test vectors should be added. The catalog version is included in the versioned schemas (§13). An index of vector IDs and associated JSON filenames is maintained in a machine‑readable manifest (</w:t>
      </w:r>
      <w:r>
        <w:rPr>
          <w:rStyle w:val="VerbatimChar"/>
        </w:rPr>
        <w:t xml:space="preserve">test-vectors/index.json</w:t>
      </w:r>
      <w:r>
        <w:t xml:space="preserv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2025-10-17T07:06:44Z</dcterms:created>
  <dcterms:modified xsi:type="dcterms:W3CDTF">2025-10-17T07:06:44Z</dcterms:modified>
</cp:coreProperties>
</file>

<file path=docProps/custom.xml><?xml version="1.0" encoding="utf-8"?>
<Properties xmlns="http://schemas.openxmlformats.org/officeDocument/2006/custom-properties" xmlns:vt="http://schemas.openxmlformats.org/officeDocument/2006/docPropsVTypes"/>
</file>